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832" w:rsidRDefault="004225D8" w:rsidP="00027832">
      <w:pPr>
        <w:tabs>
          <w:tab w:val="left" w:pos="2640"/>
        </w:tabs>
        <w:ind w:left="-709"/>
        <w:jc w:val="center"/>
        <w:rPr>
          <w:b/>
          <w:lang w:val="en-GB"/>
        </w:rPr>
      </w:pPr>
      <w:r w:rsidRPr="006F75E0">
        <w:rPr>
          <w:b/>
          <w:lang w:val="en-GB"/>
        </w:rPr>
        <w:t xml:space="preserve">Planning Criteria </w:t>
      </w:r>
      <w:r w:rsidR="00F45A1B">
        <w:rPr>
          <w:b/>
          <w:lang w:val="en-GB"/>
        </w:rPr>
        <w:t xml:space="preserve">Shipping in MSP </w:t>
      </w:r>
      <w:r w:rsidRPr="006F75E0">
        <w:rPr>
          <w:b/>
          <w:lang w:val="en-GB"/>
        </w:rPr>
        <w:t>– Update 16</w:t>
      </w:r>
      <w:r w:rsidRPr="006F75E0">
        <w:rPr>
          <w:b/>
          <w:vertAlign w:val="superscript"/>
          <w:lang w:val="en-GB"/>
        </w:rPr>
        <w:t>th</w:t>
      </w:r>
      <w:r w:rsidRPr="006F75E0">
        <w:rPr>
          <w:b/>
          <w:lang w:val="en-GB"/>
        </w:rPr>
        <w:t xml:space="preserve"> of April 2019</w:t>
      </w:r>
    </w:p>
    <w:tbl>
      <w:tblPr>
        <w:tblStyle w:val="Tabellenraster"/>
        <w:tblW w:w="15843" w:type="dxa"/>
        <w:tblInd w:w="-1423" w:type="dxa"/>
        <w:tblLook w:val="04A0" w:firstRow="1" w:lastRow="0" w:firstColumn="1" w:lastColumn="0" w:noHBand="0" w:noVBand="1"/>
      </w:tblPr>
      <w:tblGrid>
        <w:gridCol w:w="2047"/>
        <w:gridCol w:w="1773"/>
        <w:gridCol w:w="1773"/>
        <w:gridCol w:w="1764"/>
        <w:gridCol w:w="2390"/>
        <w:gridCol w:w="1560"/>
        <w:gridCol w:w="2268"/>
        <w:gridCol w:w="2268"/>
      </w:tblGrid>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Shipping</w:t>
            </w:r>
          </w:p>
        </w:tc>
        <w:tc>
          <w:tcPr>
            <w:tcW w:w="1773"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Belgium</w:t>
            </w:r>
          </w:p>
        </w:tc>
        <w:tc>
          <w:tcPr>
            <w:tcW w:w="1773"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Denmark</w:t>
            </w:r>
          </w:p>
        </w:tc>
        <w:tc>
          <w:tcPr>
            <w:tcW w:w="1764"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Germany</w:t>
            </w:r>
          </w:p>
        </w:tc>
        <w:tc>
          <w:tcPr>
            <w:tcW w:w="2390"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Netherlands</w:t>
            </w:r>
          </w:p>
        </w:tc>
        <w:tc>
          <w:tcPr>
            <w:tcW w:w="1560"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Norway</w:t>
            </w:r>
          </w:p>
        </w:tc>
        <w:tc>
          <w:tcPr>
            <w:tcW w:w="2268"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Scotland</w:t>
            </w:r>
          </w:p>
        </w:tc>
        <w:tc>
          <w:tcPr>
            <w:tcW w:w="2268" w:type="dxa"/>
            <w:shd w:val="clear" w:color="auto" w:fill="D9D9D9" w:themeFill="background1" w:themeFillShade="D9"/>
          </w:tcPr>
          <w:p w:rsidR="00F45A1B" w:rsidRPr="00551266" w:rsidRDefault="00F45A1B" w:rsidP="00820E66">
            <w:pPr>
              <w:rPr>
                <w:sz w:val="18"/>
                <w:szCs w:val="18"/>
                <w:lang w:val="en-GB"/>
              </w:rPr>
            </w:pPr>
            <w:r w:rsidRPr="00551266">
              <w:rPr>
                <w:sz w:val="18"/>
                <w:szCs w:val="18"/>
                <w:lang w:val="en-GB"/>
              </w:rPr>
              <w:t>Sweden</w:t>
            </w:r>
          </w:p>
        </w:tc>
      </w:tr>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MSP’s role in providing space for ship traffic</w:t>
            </w:r>
          </w:p>
        </w:tc>
        <w:tc>
          <w:tcPr>
            <w:tcW w:w="1773" w:type="dxa"/>
          </w:tcPr>
          <w:p w:rsidR="00F45A1B" w:rsidRPr="00551266" w:rsidRDefault="00F45A1B" w:rsidP="00820E66">
            <w:pPr>
              <w:rPr>
                <w:sz w:val="18"/>
                <w:szCs w:val="18"/>
                <w:lang w:val="en-GB"/>
              </w:rPr>
            </w:pPr>
            <w:r w:rsidRPr="00551266">
              <w:rPr>
                <w:sz w:val="18"/>
                <w:szCs w:val="18"/>
                <w:lang w:val="en-GB"/>
              </w:rPr>
              <w:t>Priority area for shipping, no incompatible activities in this area</w:t>
            </w:r>
          </w:p>
        </w:tc>
        <w:tc>
          <w:tcPr>
            <w:tcW w:w="1773" w:type="dxa"/>
          </w:tcPr>
          <w:p w:rsidR="00F45A1B" w:rsidRPr="00551266" w:rsidRDefault="00F45A1B" w:rsidP="00820E66">
            <w:pPr>
              <w:rPr>
                <w:sz w:val="18"/>
                <w:szCs w:val="18"/>
                <w:lang w:val="en-GB"/>
              </w:rPr>
            </w:pPr>
            <w:r w:rsidRPr="00551266">
              <w:rPr>
                <w:sz w:val="18"/>
                <w:szCs w:val="18"/>
                <w:lang w:val="en-GB"/>
              </w:rPr>
              <w:t>Priority areas for shipping shall safeguard space for ship traffic, no incompatible activities (e.g. artificial installations) are allowed</w:t>
            </w:r>
          </w:p>
          <w:p w:rsidR="00F45A1B" w:rsidRPr="00551266" w:rsidRDefault="00F45A1B" w:rsidP="00820E66">
            <w:pPr>
              <w:rPr>
                <w:sz w:val="18"/>
                <w:szCs w:val="18"/>
                <w:lang w:val="en-GB"/>
              </w:rPr>
            </w:pPr>
          </w:p>
        </w:tc>
        <w:tc>
          <w:tcPr>
            <w:tcW w:w="1764" w:type="dxa"/>
          </w:tcPr>
          <w:p w:rsidR="00F45A1B" w:rsidRPr="00551266" w:rsidRDefault="00F45A1B" w:rsidP="00820E66">
            <w:pPr>
              <w:rPr>
                <w:sz w:val="18"/>
                <w:szCs w:val="18"/>
                <w:lang w:val="en-GB"/>
              </w:rPr>
            </w:pPr>
            <w:r w:rsidRPr="00551266">
              <w:rPr>
                <w:sz w:val="18"/>
                <w:szCs w:val="18"/>
                <w:lang w:val="en-GB"/>
              </w:rPr>
              <w:t xml:space="preserve">Priority areas for shipping shall safeguard space for ship traffic, no incompatible activities (e.g. artificial installations) are allowed </w:t>
            </w:r>
          </w:p>
        </w:tc>
        <w:tc>
          <w:tcPr>
            <w:tcW w:w="2390" w:type="dxa"/>
          </w:tcPr>
          <w:p w:rsidR="00F45A1B" w:rsidRPr="00551266" w:rsidRDefault="00F45A1B" w:rsidP="00820E66">
            <w:pPr>
              <w:rPr>
                <w:sz w:val="18"/>
                <w:szCs w:val="18"/>
                <w:lang w:val="en-GB"/>
              </w:rPr>
            </w:pPr>
            <w:r w:rsidRPr="00551266">
              <w:rPr>
                <w:sz w:val="18"/>
                <w:szCs w:val="18"/>
                <w:lang w:val="en-GB"/>
              </w:rPr>
              <w:t>TSS, precautionary areas, clearways and anchorages</w:t>
            </w:r>
          </w:p>
        </w:tc>
        <w:tc>
          <w:tcPr>
            <w:tcW w:w="1560" w:type="dxa"/>
          </w:tcPr>
          <w:p w:rsidR="00F45A1B" w:rsidRPr="00551266" w:rsidRDefault="00F45A1B" w:rsidP="00820E66">
            <w:pPr>
              <w:rPr>
                <w:sz w:val="18"/>
                <w:szCs w:val="18"/>
                <w:lang w:val="en-GB"/>
              </w:rPr>
            </w:pPr>
            <w:r w:rsidRPr="00551266">
              <w:rPr>
                <w:sz w:val="18"/>
                <w:szCs w:val="18"/>
                <w:lang w:val="en-GB"/>
              </w:rPr>
              <w:t>In the ocean areas there is enough space. Within the coastal zone is designated shipping routes divided between primary and secondary fairway</w:t>
            </w:r>
          </w:p>
        </w:tc>
        <w:tc>
          <w:tcPr>
            <w:tcW w:w="2268" w:type="dxa"/>
          </w:tcPr>
          <w:p w:rsidR="00F45A1B" w:rsidRPr="00551266" w:rsidRDefault="00F45A1B" w:rsidP="00820E66">
            <w:pPr>
              <w:rPr>
                <w:sz w:val="18"/>
                <w:szCs w:val="18"/>
                <w:lang w:val="en-GB"/>
              </w:rPr>
            </w:pPr>
            <w:r w:rsidRPr="00551266">
              <w:rPr>
                <w:sz w:val="18"/>
                <w:szCs w:val="18"/>
                <w:lang w:val="en-GB"/>
              </w:rPr>
              <w:t>Navigational safety is paramount to vessel movement and must</w:t>
            </w:r>
          </w:p>
          <w:p w:rsidR="00F45A1B" w:rsidRPr="00551266" w:rsidRDefault="00F45A1B" w:rsidP="00820E66">
            <w:pPr>
              <w:rPr>
                <w:sz w:val="18"/>
                <w:szCs w:val="18"/>
                <w:lang w:val="en-GB"/>
              </w:rPr>
            </w:pPr>
            <w:r w:rsidRPr="00551266">
              <w:rPr>
                <w:sz w:val="18"/>
                <w:szCs w:val="18"/>
                <w:lang w:val="en-GB"/>
              </w:rPr>
              <w:t>be safeguarded. Displacement of</w:t>
            </w:r>
          </w:p>
          <w:p w:rsidR="00F45A1B" w:rsidRPr="00551266" w:rsidRDefault="00F45A1B" w:rsidP="00820E66">
            <w:pPr>
              <w:rPr>
                <w:sz w:val="18"/>
                <w:szCs w:val="18"/>
                <w:lang w:val="en-GB"/>
              </w:rPr>
            </w:pPr>
            <w:r w:rsidRPr="00551266">
              <w:rPr>
                <w:sz w:val="18"/>
                <w:szCs w:val="18"/>
                <w:lang w:val="en-GB"/>
              </w:rPr>
              <w:t>shipping should be avoided where possible.</w:t>
            </w:r>
          </w:p>
          <w:p w:rsidR="00F45A1B" w:rsidRPr="00551266" w:rsidRDefault="00F45A1B" w:rsidP="00820E66">
            <w:pPr>
              <w:rPr>
                <w:sz w:val="18"/>
                <w:szCs w:val="18"/>
                <w:lang w:val="en-GB"/>
              </w:rPr>
            </w:pPr>
            <w:r w:rsidRPr="00551266">
              <w:rPr>
                <w:sz w:val="18"/>
                <w:szCs w:val="18"/>
                <w:lang w:val="en-GB"/>
              </w:rPr>
              <w:t>Mitigate against potential increased journey lengths (and associated fuel costs, emissions and impact on journey frequency) and potential impacts on other users and ecologically sensitive areas</w:t>
            </w:r>
          </w:p>
        </w:tc>
        <w:tc>
          <w:tcPr>
            <w:tcW w:w="2268" w:type="dxa"/>
          </w:tcPr>
          <w:p w:rsidR="00F45A1B" w:rsidRPr="00551266" w:rsidRDefault="00F45A1B" w:rsidP="00820E66">
            <w:pPr>
              <w:rPr>
                <w:sz w:val="18"/>
                <w:szCs w:val="18"/>
                <w:lang w:val="en-GB"/>
              </w:rPr>
            </w:pPr>
            <w:r w:rsidRPr="00551266">
              <w:rPr>
                <w:sz w:val="18"/>
                <w:szCs w:val="18"/>
                <w:lang w:val="en-GB"/>
              </w:rPr>
              <w:t>Priority areas for shipping shall safeguard space for ship traffic, conflicting or disturbing activities are restricted.</w:t>
            </w:r>
          </w:p>
        </w:tc>
      </w:tr>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Role of the shipping sector in planning process</w:t>
            </w:r>
          </w:p>
        </w:tc>
        <w:tc>
          <w:tcPr>
            <w:tcW w:w="1773" w:type="dxa"/>
          </w:tcPr>
          <w:p w:rsidR="00F45A1B" w:rsidRPr="00551266" w:rsidRDefault="00F45A1B" w:rsidP="00820E66">
            <w:pPr>
              <w:rPr>
                <w:sz w:val="18"/>
                <w:szCs w:val="18"/>
                <w:lang w:val="en-GB"/>
              </w:rPr>
            </w:pPr>
            <w:r w:rsidRPr="00551266">
              <w:rPr>
                <w:sz w:val="18"/>
                <w:szCs w:val="18"/>
                <w:lang w:val="en-GB"/>
              </w:rPr>
              <w:t>Consideration to economic implications for ports</w:t>
            </w:r>
          </w:p>
        </w:tc>
        <w:tc>
          <w:tcPr>
            <w:tcW w:w="1773" w:type="dxa"/>
          </w:tcPr>
          <w:p w:rsidR="00F45A1B" w:rsidRPr="00551266" w:rsidRDefault="00F45A1B" w:rsidP="00820E66">
            <w:pPr>
              <w:rPr>
                <w:sz w:val="18"/>
                <w:szCs w:val="18"/>
                <w:lang w:val="en-GB"/>
              </w:rPr>
            </w:pPr>
          </w:p>
        </w:tc>
        <w:tc>
          <w:tcPr>
            <w:tcW w:w="1764" w:type="dxa"/>
          </w:tcPr>
          <w:p w:rsidR="00F45A1B" w:rsidRPr="00551266" w:rsidRDefault="00F45A1B" w:rsidP="00820E66">
            <w:pPr>
              <w:rPr>
                <w:sz w:val="18"/>
                <w:szCs w:val="18"/>
                <w:lang w:val="en-GB"/>
              </w:rPr>
            </w:pPr>
            <w:r w:rsidRPr="00551266">
              <w:rPr>
                <w:sz w:val="18"/>
                <w:szCs w:val="18"/>
                <w:lang w:val="en-GB"/>
              </w:rPr>
              <w:t>The Water and Shipping Directorate gave important input for location +width of priority areas</w:t>
            </w:r>
          </w:p>
        </w:tc>
        <w:tc>
          <w:tcPr>
            <w:tcW w:w="2390" w:type="dxa"/>
          </w:tcPr>
          <w:p w:rsidR="00F45A1B" w:rsidRPr="00551266" w:rsidRDefault="00F45A1B" w:rsidP="00820E66">
            <w:pPr>
              <w:rPr>
                <w:sz w:val="18"/>
                <w:szCs w:val="18"/>
                <w:lang w:val="en-GB"/>
              </w:rPr>
            </w:pPr>
            <w:r w:rsidRPr="00551266">
              <w:rPr>
                <w:sz w:val="18"/>
                <w:szCs w:val="18"/>
                <w:lang w:val="en-GB"/>
              </w:rPr>
              <w:t>High economic value of shipping, direct and indirect significance of shipping and accessibility to ports</w:t>
            </w:r>
          </w:p>
        </w:tc>
        <w:tc>
          <w:tcPr>
            <w:tcW w:w="1560" w:type="dxa"/>
          </w:tcPr>
          <w:p w:rsidR="00F45A1B" w:rsidRPr="00551266" w:rsidRDefault="00F45A1B" w:rsidP="00820E66">
            <w:pPr>
              <w:rPr>
                <w:sz w:val="18"/>
                <w:szCs w:val="18"/>
                <w:lang w:val="en-GB"/>
              </w:rPr>
            </w:pPr>
            <w:r w:rsidRPr="00551266">
              <w:rPr>
                <w:sz w:val="18"/>
                <w:szCs w:val="18"/>
              </w:rPr>
              <w:t>Active participation</w:t>
            </w:r>
          </w:p>
        </w:tc>
        <w:tc>
          <w:tcPr>
            <w:tcW w:w="2268" w:type="dxa"/>
          </w:tcPr>
          <w:p w:rsidR="00F45A1B" w:rsidRPr="00551266" w:rsidRDefault="00F45A1B" w:rsidP="00820E66">
            <w:pPr>
              <w:rPr>
                <w:sz w:val="18"/>
                <w:szCs w:val="18"/>
                <w:lang w:val="en-GB"/>
              </w:rPr>
            </w:pPr>
            <w:r w:rsidRPr="00551266">
              <w:rPr>
                <w:sz w:val="18"/>
                <w:szCs w:val="18"/>
                <w:lang w:val="en-GB"/>
              </w:rPr>
              <w:t xml:space="preserve">Shipping trade is essential for Scotland economy and its growth in terms of trade and employment </w:t>
            </w:r>
          </w:p>
        </w:tc>
        <w:tc>
          <w:tcPr>
            <w:tcW w:w="2268" w:type="dxa"/>
          </w:tcPr>
          <w:p w:rsidR="00F45A1B" w:rsidRPr="00551266" w:rsidRDefault="00F45A1B" w:rsidP="00820E66">
            <w:pPr>
              <w:rPr>
                <w:sz w:val="18"/>
                <w:szCs w:val="18"/>
                <w:lang w:val="en-GB"/>
              </w:rPr>
            </w:pPr>
          </w:p>
        </w:tc>
      </w:tr>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Use of planning criteria</w:t>
            </w:r>
          </w:p>
        </w:tc>
        <w:tc>
          <w:tcPr>
            <w:tcW w:w="1773" w:type="dxa"/>
          </w:tcPr>
          <w:p w:rsidR="00F45A1B" w:rsidRPr="00551266" w:rsidRDefault="00F45A1B" w:rsidP="00820E66">
            <w:pPr>
              <w:rPr>
                <w:sz w:val="18"/>
                <w:szCs w:val="18"/>
                <w:lang w:val="en-GB"/>
              </w:rPr>
            </w:pPr>
            <w:r w:rsidRPr="00551266">
              <w:rPr>
                <w:sz w:val="18"/>
                <w:szCs w:val="18"/>
                <w:lang w:val="en-GB"/>
              </w:rPr>
              <w:t>Designation on AIS records</w:t>
            </w:r>
          </w:p>
          <w:p w:rsidR="00F45A1B" w:rsidRPr="00551266" w:rsidRDefault="00F45A1B" w:rsidP="00820E66">
            <w:pPr>
              <w:rPr>
                <w:sz w:val="18"/>
                <w:szCs w:val="18"/>
                <w:lang w:val="en-GB"/>
              </w:rPr>
            </w:pPr>
            <w:r w:rsidRPr="00551266">
              <w:rPr>
                <w:sz w:val="18"/>
                <w:szCs w:val="18"/>
                <w:lang w:val="en-GB"/>
              </w:rPr>
              <w:t xml:space="preserve">Safety distance is according IMO regulations, 500 </w:t>
            </w:r>
            <w:r w:rsidRPr="00551266">
              <w:rPr>
                <w:sz w:val="18"/>
                <w:szCs w:val="18"/>
                <w:lang w:val="en-GB"/>
              </w:rPr>
              <w:lastRenderedPageBreak/>
              <w:t>metres of any fixed obstacle</w:t>
            </w:r>
          </w:p>
          <w:p w:rsidR="00F45A1B" w:rsidRPr="00551266" w:rsidRDefault="00F45A1B" w:rsidP="00820E66">
            <w:pPr>
              <w:rPr>
                <w:sz w:val="18"/>
                <w:szCs w:val="18"/>
                <w:lang w:val="en-GB"/>
              </w:rPr>
            </w:pPr>
          </w:p>
          <w:p w:rsidR="00F45A1B" w:rsidRPr="00551266" w:rsidRDefault="00F45A1B" w:rsidP="00820E66">
            <w:pPr>
              <w:rPr>
                <w:sz w:val="18"/>
                <w:szCs w:val="18"/>
                <w:lang w:val="en-GB"/>
              </w:rPr>
            </w:pPr>
          </w:p>
        </w:tc>
        <w:tc>
          <w:tcPr>
            <w:tcW w:w="1773" w:type="dxa"/>
          </w:tcPr>
          <w:p w:rsidR="00F45A1B" w:rsidRPr="00551266" w:rsidRDefault="00F45A1B" w:rsidP="00820E66">
            <w:pPr>
              <w:rPr>
                <w:sz w:val="18"/>
                <w:szCs w:val="18"/>
                <w:lang w:val="en-GB"/>
              </w:rPr>
            </w:pPr>
            <w:r w:rsidRPr="00551266">
              <w:rPr>
                <w:sz w:val="18"/>
                <w:szCs w:val="18"/>
                <w:lang w:val="en-GB"/>
              </w:rPr>
              <w:lastRenderedPageBreak/>
              <w:t>Width of priority areas + safety zones according to traffic density and ship sizes on main traffic routes</w:t>
            </w:r>
          </w:p>
          <w:p w:rsidR="00F45A1B" w:rsidRPr="00551266" w:rsidRDefault="00F45A1B" w:rsidP="00820E66">
            <w:pPr>
              <w:rPr>
                <w:sz w:val="18"/>
                <w:szCs w:val="18"/>
                <w:lang w:val="en-GB"/>
              </w:rPr>
            </w:pPr>
            <w:r w:rsidRPr="00551266">
              <w:rPr>
                <w:sz w:val="18"/>
                <w:szCs w:val="18"/>
                <w:lang w:val="en-GB"/>
              </w:rPr>
              <w:lastRenderedPageBreak/>
              <w:t>(AIS data from 2016 + “Danmarks Statistik 2016”), guidance taken from Nautical Institute paper</w:t>
            </w:r>
          </w:p>
          <w:p w:rsidR="00F45A1B" w:rsidRPr="00551266" w:rsidRDefault="00F45A1B" w:rsidP="00820E66">
            <w:pPr>
              <w:rPr>
                <w:sz w:val="18"/>
                <w:szCs w:val="18"/>
                <w:lang w:val="en-GB"/>
              </w:rPr>
            </w:pPr>
            <w:r w:rsidRPr="00551266">
              <w:rPr>
                <w:sz w:val="18"/>
                <w:szCs w:val="18"/>
                <w:lang w:val="en-GB"/>
              </w:rPr>
              <w:t>Between 6 and up to 10 nm</w:t>
            </w:r>
          </w:p>
        </w:tc>
        <w:tc>
          <w:tcPr>
            <w:tcW w:w="1764" w:type="dxa"/>
          </w:tcPr>
          <w:p w:rsidR="00F45A1B" w:rsidRPr="00551266" w:rsidRDefault="00F45A1B" w:rsidP="00820E66">
            <w:pPr>
              <w:rPr>
                <w:sz w:val="18"/>
                <w:szCs w:val="18"/>
                <w:lang w:val="en-GB"/>
              </w:rPr>
            </w:pPr>
            <w:r w:rsidRPr="00551266">
              <w:rPr>
                <w:sz w:val="18"/>
                <w:szCs w:val="18"/>
                <w:lang w:val="en-GB"/>
              </w:rPr>
              <w:lastRenderedPageBreak/>
              <w:t xml:space="preserve">Larger corridors equal widths of TSS; 1nm width for 1000-4900 vessels/year; 10nm for &gt;10,000 ships. Based on AIS </w:t>
            </w:r>
            <w:r w:rsidRPr="00551266">
              <w:rPr>
                <w:sz w:val="18"/>
                <w:szCs w:val="18"/>
                <w:lang w:val="en-GB"/>
              </w:rPr>
              <w:lastRenderedPageBreak/>
              <w:t>data from 2005-2009</w:t>
            </w:r>
          </w:p>
        </w:tc>
        <w:tc>
          <w:tcPr>
            <w:tcW w:w="2390" w:type="dxa"/>
          </w:tcPr>
          <w:p w:rsidR="00F45A1B" w:rsidRPr="00551266" w:rsidRDefault="00F45A1B" w:rsidP="00820E66">
            <w:pPr>
              <w:rPr>
                <w:sz w:val="18"/>
                <w:szCs w:val="18"/>
                <w:lang w:val="en-GB"/>
              </w:rPr>
            </w:pPr>
            <w:r w:rsidRPr="00551266">
              <w:rPr>
                <w:sz w:val="18"/>
                <w:szCs w:val="18"/>
                <w:lang w:val="en-GB"/>
              </w:rPr>
              <w:lastRenderedPageBreak/>
              <w:t>Mining installations or other individual permanent structures will not be permitted within the shipping routes or in a 500-</w:t>
            </w:r>
            <w:r w:rsidRPr="00551266">
              <w:rPr>
                <w:sz w:val="18"/>
                <w:szCs w:val="18"/>
                <w:lang w:val="en-GB"/>
              </w:rPr>
              <w:lastRenderedPageBreak/>
              <w:t xml:space="preserve">metre zone surrounding these shipping routes. </w:t>
            </w:r>
          </w:p>
          <w:p w:rsidR="00F45A1B" w:rsidRPr="00551266" w:rsidRDefault="00F45A1B" w:rsidP="00820E66">
            <w:pPr>
              <w:rPr>
                <w:sz w:val="18"/>
                <w:szCs w:val="18"/>
                <w:lang w:val="en-GB"/>
              </w:rPr>
            </w:pPr>
          </w:p>
          <w:p w:rsidR="00F45A1B" w:rsidRPr="00551266" w:rsidRDefault="00F45A1B" w:rsidP="00820E66">
            <w:pPr>
              <w:rPr>
                <w:sz w:val="18"/>
                <w:szCs w:val="18"/>
              </w:rPr>
            </w:pPr>
            <w:r w:rsidRPr="00551266">
              <w:rPr>
                <w:rFonts w:cs="RijksoverheidSerif"/>
                <w:color w:val="000000"/>
                <w:sz w:val="18"/>
                <w:szCs w:val="18"/>
              </w:rPr>
              <w:t>The ‘Design criterion: distance between shipping routes and wind farms’</w:t>
            </w:r>
            <w:r w:rsidRPr="00551266">
              <w:rPr>
                <w:rStyle w:val="A10"/>
                <w:rFonts w:asciiTheme="minorHAnsi" w:hAnsiTheme="minorHAnsi"/>
                <w:sz w:val="18"/>
                <w:szCs w:val="18"/>
              </w:rPr>
              <w:t xml:space="preserve"> </w:t>
            </w:r>
            <w:r w:rsidRPr="00551266">
              <w:rPr>
                <w:rFonts w:cs="RijksoverheidSerif"/>
                <w:color w:val="000000"/>
                <w:sz w:val="18"/>
                <w:szCs w:val="18"/>
              </w:rPr>
              <w:t>has been worked out together with the shipping sector. It is intended to determine the space between the shipping route and wind farms at sea that shipping needs to be able to navigate swiftly and safely.</w:t>
            </w:r>
          </w:p>
        </w:tc>
        <w:tc>
          <w:tcPr>
            <w:tcW w:w="1560" w:type="dxa"/>
          </w:tcPr>
          <w:p w:rsidR="00F45A1B" w:rsidRPr="00551266" w:rsidRDefault="00F45A1B" w:rsidP="00820E66">
            <w:pPr>
              <w:rPr>
                <w:sz w:val="18"/>
                <w:szCs w:val="18"/>
                <w:lang w:val="en-GB"/>
              </w:rPr>
            </w:pPr>
            <w:r w:rsidRPr="00551266">
              <w:rPr>
                <w:sz w:val="18"/>
                <w:szCs w:val="18"/>
              </w:rPr>
              <w:lastRenderedPageBreak/>
              <w:t xml:space="preserve">MSP only covers the nationally important corridors. Smaller routes rely on the </w:t>
            </w:r>
            <w:r w:rsidRPr="00551266">
              <w:rPr>
                <w:sz w:val="18"/>
                <w:szCs w:val="18"/>
              </w:rPr>
              <w:lastRenderedPageBreak/>
              <w:t>“freedom of navigation”.</w:t>
            </w:r>
          </w:p>
        </w:tc>
        <w:tc>
          <w:tcPr>
            <w:tcW w:w="2268" w:type="dxa"/>
          </w:tcPr>
          <w:p w:rsidR="00F45A1B" w:rsidRPr="00551266" w:rsidRDefault="00F45A1B" w:rsidP="00820E66">
            <w:pPr>
              <w:rPr>
                <w:sz w:val="18"/>
                <w:szCs w:val="18"/>
                <w:lang w:val="en-GB"/>
              </w:rPr>
            </w:pPr>
            <w:r w:rsidRPr="00551266">
              <w:rPr>
                <w:sz w:val="18"/>
                <w:szCs w:val="18"/>
                <w:lang w:val="en-GB"/>
              </w:rPr>
              <w:lastRenderedPageBreak/>
              <w:t xml:space="preserve">Safety distance is according to IMO/UNCLOS – 500 m safety zone between shipping and offshore wind turbines during works and 50 m during operations. </w:t>
            </w:r>
            <w:r w:rsidRPr="00551266">
              <w:rPr>
                <w:sz w:val="18"/>
                <w:szCs w:val="18"/>
                <w:lang w:val="en-GB"/>
              </w:rPr>
              <w:lastRenderedPageBreak/>
              <w:t>Corridors are created between sites to allow safe passage – assessment required to establish a minimum width of the corridor (case-by-case basis)</w:t>
            </w:r>
          </w:p>
        </w:tc>
        <w:tc>
          <w:tcPr>
            <w:tcW w:w="2268" w:type="dxa"/>
          </w:tcPr>
          <w:p w:rsidR="00F45A1B" w:rsidRPr="00551266" w:rsidRDefault="00F45A1B" w:rsidP="00820E66">
            <w:pPr>
              <w:rPr>
                <w:sz w:val="18"/>
                <w:szCs w:val="18"/>
                <w:lang w:val="en-GB"/>
              </w:rPr>
            </w:pPr>
            <w:r w:rsidRPr="00551266">
              <w:rPr>
                <w:sz w:val="18"/>
                <w:szCs w:val="18"/>
                <w:lang w:val="en-GB"/>
              </w:rPr>
              <w:lastRenderedPageBreak/>
              <w:t>MSP only covers the nationally important corridors. Smaller routes rely on the “freedom of navigation”.</w:t>
            </w:r>
          </w:p>
        </w:tc>
      </w:tr>
      <w:tr w:rsidR="00F45A1B" w:rsidRPr="00551266" w:rsidTr="00F45A1B">
        <w:tc>
          <w:tcPr>
            <w:tcW w:w="2047" w:type="dxa"/>
            <w:shd w:val="clear" w:color="auto" w:fill="B8CCE4" w:themeFill="accent1" w:themeFillTint="66"/>
          </w:tcPr>
          <w:p w:rsidR="00F45A1B" w:rsidRPr="00551266" w:rsidRDefault="00F45A1B" w:rsidP="00820E66">
            <w:pPr>
              <w:rPr>
                <w:sz w:val="18"/>
                <w:szCs w:val="18"/>
                <w:lang w:val="en-GB"/>
              </w:rPr>
            </w:pPr>
            <w:r w:rsidRPr="00551266">
              <w:rPr>
                <w:sz w:val="18"/>
                <w:szCs w:val="18"/>
                <w:lang w:val="en-GB"/>
              </w:rPr>
              <w:t>Existing IMO routeing measures</w:t>
            </w:r>
          </w:p>
        </w:tc>
        <w:tc>
          <w:tcPr>
            <w:tcW w:w="1773" w:type="dxa"/>
          </w:tcPr>
          <w:p w:rsidR="00F45A1B" w:rsidRPr="00551266" w:rsidRDefault="00F45A1B" w:rsidP="00820E66">
            <w:pPr>
              <w:rPr>
                <w:sz w:val="18"/>
                <w:szCs w:val="18"/>
                <w:lang w:val="en-GB"/>
              </w:rPr>
            </w:pPr>
            <w:r w:rsidRPr="00551266">
              <w:rPr>
                <w:sz w:val="18"/>
                <w:szCs w:val="18"/>
                <w:lang w:val="en-GB"/>
              </w:rPr>
              <w:t xml:space="preserve">Several routes were already regulated </w:t>
            </w:r>
            <w:proofErr w:type="gramStart"/>
            <w:r w:rsidRPr="00551266">
              <w:rPr>
                <w:sz w:val="18"/>
                <w:szCs w:val="18"/>
                <w:lang w:val="en-GB"/>
              </w:rPr>
              <w:t>By</w:t>
            </w:r>
            <w:proofErr w:type="gramEnd"/>
            <w:r w:rsidRPr="00551266">
              <w:rPr>
                <w:sz w:val="18"/>
                <w:szCs w:val="18"/>
                <w:lang w:val="en-GB"/>
              </w:rPr>
              <w:t xml:space="preserve"> IMO.</w:t>
            </w:r>
          </w:p>
          <w:p w:rsidR="00F45A1B" w:rsidRPr="00551266" w:rsidRDefault="00F45A1B" w:rsidP="00820E66">
            <w:pPr>
              <w:rPr>
                <w:sz w:val="18"/>
                <w:szCs w:val="18"/>
                <w:lang w:val="en-GB"/>
              </w:rPr>
            </w:pPr>
            <w:r w:rsidRPr="00551266">
              <w:rPr>
                <w:sz w:val="18"/>
                <w:szCs w:val="18"/>
                <w:lang w:val="en-GB"/>
              </w:rPr>
              <w:t>Because of the windfarms, new IMO routing measures were made</w:t>
            </w:r>
          </w:p>
        </w:tc>
        <w:tc>
          <w:tcPr>
            <w:tcW w:w="1773" w:type="dxa"/>
          </w:tcPr>
          <w:p w:rsidR="00F45A1B" w:rsidRPr="00551266" w:rsidRDefault="00F45A1B" w:rsidP="00820E66">
            <w:pPr>
              <w:rPr>
                <w:sz w:val="18"/>
                <w:szCs w:val="18"/>
                <w:lang w:val="en-GB"/>
              </w:rPr>
            </w:pPr>
            <w:r w:rsidRPr="00551266">
              <w:rPr>
                <w:sz w:val="18"/>
                <w:szCs w:val="18"/>
                <w:lang w:val="en-GB"/>
              </w:rPr>
              <w:t>Large area is regulated by IMO, which will be transferred to MSP</w:t>
            </w:r>
          </w:p>
          <w:p w:rsidR="00F45A1B" w:rsidRPr="00551266" w:rsidRDefault="00F45A1B" w:rsidP="00820E66">
            <w:pPr>
              <w:rPr>
                <w:sz w:val="18"/>
                <w:szCs w:val="18"/>
                <w:lang w:val="en-GB"/>
              </w:rPr>
            </w:pPr>
            <w:r w:rsidRPr="00551266">
              <w:rPr>
                <w:sz w:val="18"/>
                <w:szCs w:val="18"/>
                <w:lang w:val="en-GB"/>
              </w:rPr>
              <w:t>+ 2nm safety zones along TSS</w:t>
            </w:r>
          </w:p>
        </w:tc>
        <w:tc>
          <w:tcPr>
            <w:tcW w:w="1764" w:type="dxa"/>
          </w:tcPr>
          <w:p w:rsidR="00F45A1B" w:rsidRPr="00551266" w:rsidRDefault="00F45A1B" w:rsidP="00820E66">
            <w:pPr>
              <w:rPr>
                <w:sz w:val="18"/>
                <w:szCs w:val="18"/>
                <w:lang w:val="en-GB"/>
              </w:rPr>
            </w:pPr>
            <w:r w:rsidRPr="00551266">
              <w:rPr>
                <w:sz w:val="18"/>
                <w:szCs w:val="18"/>
                <w:lang w:val="en-GB"/>
              </w:rPr>
              <w:t>Large area is regulated by IMO, which is also transferred to MSP + 2nm safety zones along TSS</w:t>
            </w:r>
          </w:p>
        </w:tc>
        <w:tc>
          <w:tcPr>
            <w:tcW w:w="2390" w:type="dxa"/>
          </w:tcPr>
          <w:p w:rsidR="00F45A1B" w:rsidRPr="00551266" w:rsidRDefault="00F45A1B" w:rsidP="00820E66">
            <w:pPr>
              <w:rPr>
                <w:sz w:val="18"/>
                <w:szCs w:val="18"/>
              </w:rPr>
            </w:pPr>
            <w:r w:rsidRPr="00551266">
              <w:rPr>
                <w:sz w:val="18"/>
                <w:szCs w:val="18"/>
              </w:rPr>
              <w:t xml:space="preserve">The traffic separation scheme (TSS) and accompanying ‘precautionary areas’ and </w:t>
            </w:r>
            <w:r w:rsidRPr="00551266">
              <w:rPr>
                <w:i/>
                <w:iCs/>
                <w:sz w:val="18"/>
                <w:szCs w:val="18"/>
              </w:rPr>
              <w:t xml:space="preserve">inshore traffic zones </w:t>
            </w:r>
            <w:r w:rsidRPr="00551266">
              <w:rPr>
                <w:sz w:val="18"/>
                <w:szCs w:val="18"/>
              </w:rPr>
              <w:t xml:space="preserve">have been established by the International Maritime </w:t>
            </w:r>
            <w:proofErr w:type="spellStart"/>
            <w:r w:rsidRPr="00551266">
              <w:rPr>
                <w:sz w:val="18"/>
                <w:szCs w:val="18"/>
              </w:rPr>
              <w:t>Organisation</w:t>
            </w:r>
            <w:proofErr w:type="spellEnd"/>
            <w:r w:rsidRPr="00551266">
              <w:rPr>
                <w:sz w:val="18"/>
                <w:szCs w:val="18"/>
              </w:rPr>
              <w:t xml:space="preserve"> (IMO) of the United Nations. </w:t>
            </w:r>
          </w:p>
          <w:p w:rsidR="00F45A1B" w:rsidRPr="00551266" w:rsidRDefault="00F45A1B" w:rsidP="00820E66">
            <w:pPr>
              <w:rPr>
                <w:sz w:val="18"/>
                <w:szCs w:val="18"/>
              </w:rPr>
            </w:pPr>
          </w:p>
          <w:p w:rsidR="00F45A1B" w:rsidRPr="00551266" w:rsidRDefault="00F45A1B" w:rsidP="00820E66">
            <w:pPr>
              <w:rPr>
                <w:sz w:val="18"/>
                <w:szCs w:val="18"/>
                <w:lang w:val="en-GB"/>
              </w:rPr>
            </w:pPr>
          </w:p>
        </w:tc>
        <w:tc>
          <w:tcPr>
            <w:tcW w:w="1560" w:type="dxa"/>
          </w:tcPr>
          <w:p w:rsidR="00F45A1B" w:rsidRPr="00551266" w:rsidRDefault="00F45A1B" w:rsidP="00820E66">
            <w:pPr>
              <w:rPr>
                <w:sz w:val="18"/>
                <w:szCs w:val="18"/>
                <w:lang w:val="en-GB"/>
              </w:rPr>
            </w:pPr>
            <w:r w:rsidRPr="00551266">
              <w:rPr>
                <w:sz w:val="18"/>
                <w:szCs w:val="18"/>
              </w:rPr>
              <w:t>Large area is regulated by IMO, which is also transferred to MSP + 2nm safety zones along TSS</w:t>
            </w:r>
          </w:p>
        </w:tc>
        <w:tc>
          <w:tcPr>
            <w:tcW w:w="2268" w:type="dxa"/>
          </w:tcPr>
          <w:p w:rsidR="00F45A1B" w:rsidRPr="00551266" w:rsidRDefault="00F45A1B" w:rsidP="00820E66">
            <w:pPr>
              <w:rPr>
                <w:sz w:val="18"/>
                <w:szCs w:val="18"/>
                <w:lang w:val="en-GB"/>
              </w:rPr>
            </w:pPr>
            <w:r w:rsidRPr="00551266">
              <w:rPr>
                <w:sz w:val="18"/>
                <w:szCs w:val="18"/>
                <w:lang w:val="en-GB"/>
              </w:rPr>
              <w:t>IMO traffic routing measures in Scottish waters including Traffic Separation Schemes (TSS), recommended routes, deep water routes, area(s) to be avoided (ATBA) and precautionary area.</w:t>
            </w:r>
          </w:p>
        </w:tc>
        <w:tc>
          <w:tcPr>
            <w:tcW w:w="2268" w:type="dxa"/>
          </w:tcPr>
          <w:p w:rsidR="00F45A1B" w:rsidRPr="00551266" w:rsidRDefault="00F45A1B" w:rsidP="00820E66">
            <w:pPr>
              <w:rPr>
                <w:sz w:val="18"/>
                <w:szCs w:val="18"/>
                <w:lang w:val="en-GB"/>
              </w:rPr>
            </w:pPr>
            <w:r w:rsidRPr="00551266">
              <w:rPr>
                <w:sz w:val="18"/>
                <w:szCs w:val="18"/>
                <w:lang w:val="en-GB"/>
              </w:rPr>
              <w:t>Large area is regulated by IMO, which will be transferred to MSP, no safety zones added</w:t>
            </w:r>
          </w:p>
          <w:p w:rsidR="00F45A1B" w:rsidRPr="00551266" w:rsidRDefault="00F45A1B" w:rsidP="00820E66">
            <w:pPr>
              <w:rPr>
                <w:sz w:val="18"/>
                <w:szCs w:val="18"/>
                <w:lang w:val="en-GB"/>
              </w:rPr>
            </w:pPr>
          </w:p>
        </w:tc>
      </w:tr>
    </w:tbl>
    <w:p w:rsidR="00F45A1B" w:rsidRDefault="00F45A1B" w:rsidP="00027832">
      <w:pPr>
        <w:tabs>
          <w:tab w:val="left" w:pos="2640"/>
        </w:tabs>
        <w:ind w:left="-709"/>
        <w:jc w:val="center"/>
        <w:rPr>
          <w:b/>
          <w:lang w:val="en-GB"/>
        </w:rPr>
      </w:pPr>
    </w:p>
    <w:p w:rsidR="00F45A1B" w:rsidRDefault="00F45A1B" w:rsidP="00027832">
      <w:pPr>
        <w:tabs>
          <w:tab w:val="left" w:pos="2640"/>
        </w:tabs>
        <w:ind w:left="-709"/>
        <w:jc w:val="center"/>
        <w:rPr>
          <w:b/>
          <w:lang w:val="en-GB"/>
        </w:rPr>
      </w:pPr>
    </w:p>
    <w:p w:rsidR="00F45A1B" w:rsidRDefault="00F45A1B" w:rsidP="00027832">
      <w:pPr>
        <w:tabs>
          <w:tab w:val="left" w:pos="2640"/>
        </w:tabs>
        <w:ind w:left="-709"/>
        <w:jc w:val="center"/>
        <w:rPr>
          <w:b/>
          <w:lang w:val="en-GB"/>
        </w:rPr>
      </w:pPr>
    </w:p>
    <w:p w:rsidR="00D7163A" w:rsidRDefault="00D7163A" w:rsidP="00027832">
      <w:pPr>
        <w:tabs>
          <w:tab w:val="left" w:pos="2640"/>
        </w:tabs>
        <w:ind w:left="-709"/>
        <w:jc w:val="center"/>
        <w:rPr>
          <w:b/>
          <w:lang w:val="en-GB"/>
        </w:rPr>
      </w:pPr>
    </w:p>
    <w:tbl>
      <w:tblPr>
        <w:tblStyle w:val="Tabellenraster"/>
        <w:tblW w:w="0" w:type="auto"/>
        <w:tblLook w:val="04A0" w:firstRow="1" w:lastRow="0" w:firstColumn="1" w:lastColumn="0" w:noHBand="0" w:noVBand="1"/>
      </w:tblPr>
      <w:tblGrid>
        <w:gridCol w:w="4392"/>
        <w:gridCol w:w="4456"/>
        <w:gridCol w:w="4437"/>
      </w:tblGrid>
      <w:tr w:rsidR="00F45A1B" w:rsidTr="00F45A1B">
        <w:tc>
          <w:tcPr>
            <w:tcW w:w="4392" w:type="dxa"/>
          </w:tcPr>
          <w:p w:rsidR="00F45A1B" w:rsidRDefault="00F45A1B" w:rsidP="00820E66">
            <w:pPr>
              <w:rPr>
                <w:sz w:val="18"/>
                <w:szCs w:val="18"/>
              </w:rPr>
            </w:pPr>
            <w:bookmarkStart w:id="0" w:name="_GoBack"/>
            <w:bookmarkEnd w:id="0"/>
            <w:r>
              <w:rPr>
                <w:sz w:val="18"/>
                <w:szCs w:val="18"/>
              </w:rPr>
              <w:t>Similarities</w:t>
            </w:r>
          </w:p>
        </w:tc>
        <w:tc>
          <w:tcPr>
            <w:tcW w:w="4456" w:type="dxa"/>
          </w:tcPr>
          <w:p w:rsidR="00F45A1B" w:rsidRDefault="00F45A1B" w:rsidP="00820E66">
            <w:pPr>
              <w:rPr>
                <w:sz w:val="18"/>
                <w:szCs w:val="18"/>
              </w:rPr>
            </w:pPr>
            <w:r>
              <w:rPr>
                <w:sz w:val="18"/>
                <w:szCs w:val="18"/>
              </w:rPr>
              <w:t>Differences</w:t>
            </w:r>
          </w:p>
        </w:tc>
        <w:tc>
          <w:tcPr>
            <w:tcW w:w="4437" w:type="dxa"/>
          </w:tcPr>
          <w:p w:rsidR="00F45A1B" w:rsidRDefault="00F45A1B" w:rsidP="00820E66">
            <w:pPr>
              <w:rPr>
                <w:sz w:val="18"/>
                <w:szCs w:val="18"/>
              </w:rPr>
            </w:pPr>
            <w:r>
              <w:rPr>
                <w:sz w:val="18"/>
                <w:szCs w:val="18"/>
              </w:rPr>
              <w:t>Actions</w:t>
            </w:r>
          </w:p>
        </w:tc>
      </w:tr>
      <w:tr w:rsidR="00F45A1B" w:rsidTr="00F45A1B">
        <w:tc>
          <w:tcPr>
            <w:tcW w:w="4392" w:type="dxa"/>
          </w:tcPr>
          <w:p w:rsidR="00F45A1B" w:rsidRDefault="00F45A1B" w:rsidP="005D2994">
            <w:pPr>
              <w:pStyle w:val="Listenabsatz"/>
              <w:numPr>
                <w:ilvl w:val="0"/>
                <w:numId w:val="3"/>
              </w:numPr>
              <w:autoSpaceDE/>
              <w:autoSpaceDN/>
              <w:adjustRightInd/>
              <w:spacing w:before="0"/>
              <w:rPr>
                <w:sz w:val="18"/>
                <w:szCs w:val="18"/>
              </w:rPr>
            </w:pPr>
            <w:r>
              <w:rPr>
                <w:sz w:val="18"/>
                <w:szCs w:val="18"/>
              </w:rPr>
              <w:t>All use AIS data or density maps for data collection</w:t>
            </w:r>
          </w:p>
          <w:p w:rsidR="00F45A1B" w:rsidRDefault="00F45A1B" w:rsidP="005D2994">
            <w:pPr>
              <w:pStyle w:val="Listenabsatz"/>
              <w:numPr>
                <w:ilvl w:val="0"/>
                <w:numId w:val="3"/>
              </w:numPr>
              <w:autoSpaceDE/>
              <w:autoSpaceDN/>
              <w:adjustRightInd/>
              <w:spacing w:before="0"/>
              <w:rPr>
                <w:sz w:val="18"/>
                <w:szCs w:val="18"/>
              </w:rPr>
            </w:pPr>
            <w:r>
              <w:rPr>
                <w:sz w:val="18"/>
                <w:szCs w:val="18"/>
              </w:rPr>
              <w:t>IMO regulated routes</w:t>
            </w:r>
          </w:p>
          <w:p w:rsidR="00F45A1B" w:rsidRPr="00CA4C78" w:rsidRDefault="00F45A1B" w:rsidP="005D2994">
            <w:pPr>
              <w:pStyle w:val="Listenabsatz"/>
              <w:numPr>
                <w:ilvl w:val="0"/>
                <w:numId w:val="3"/>
              </w:numPr>
              <w:autoSpaceDE/>
              <w:autoSpaceDN/>
              <w:adjustRightInd/>
              <w:spacing w:before="0"/>
              <w:rPr>
                <w:sz w:val="18"/>
                <w:szCs w:val="18"/>
              </w:rPr>
            </w:pPr>
            <w:r>
              <w:rPr>
                <w:sz w:val="18"/>
                <w:szCs w:val="18"/>
              </w:rPr>
              <w:t xml:space="preserve">MSP provide priority lanes </w:t>
            </w:r>
          </w:p>
        </w:tc>
        <w:tc>
          <w:tcPr>
            <w:tcW w:w="4456" w:type="dxa"/>
          </w:tcPr>
          <w:p w:rsidR="00F45A1B" w:rsidRDefault="00F45A1B" w:rsidP="005D2994">
            <w:pPr>
              <w:pStyle w:val="Listenabsatz"/>
              <w:numPr>
                <w:ilvl w:val="0"/>
                <w:numId w:val="3"/>
              </w:numPr>
              <w:autoSpaceDE/>
              <w:autoSpaceDN/>
              <w:adjustRightInd/>
              <w:spacing w:before="0"/>
              <w:rPr>
                <w:sz w:val="18"/>
                <w:szCs w:val="18"/>
              </w:rPr>
            </w:pPr>
            <w:r>
              <w:rPr>
                <w:sz w:val="18"/>
                <w:szCs w:val="18"/>
              </w:rPr>
              <w:t>Different variation (different vessel data used)</w:t>
            </w:r>
          </w:p>
          <w:p w:rsidR="00F45A1B" w:rsidRDefault="00F45A1B" w:rsidP="005D2994">
            <w:pPr>
              <w:pStyle w:val="Listenabsatz"/>
              <w:numPr>
                <w:ilvl w:val="0"/>
                <w:numId w:val="3"/>
              </w:numPr>
              <w:autoSpaceDE/>
              <w:autoSpaceDN/>
              <w:adjustRightInd/>
              <w:spacing w:before="0"/>
              <w:rPr>
                <w:sz w:val="18"/>
                <w:szCs w:val="18"/>
              </w:rPr>
            </w:pPr>
            <w:r>
              <w:rPr>
                <w:sz w:val="18"/>
                <w:szCs w:val="18"/>
              </w:rPr>
              <w:t>Different timeline</w:t>
            </w:r>
          </w:p>
          <w:p w:rsidR="00F45A1B" w:rsidRDefault="00F45A1B" w:rsidP="005D2994">
            <w:pPr>
              <w:pStyle w:val="Listenabsatz"/>
              <w:numPr>
                <w:ilvl w:val="0"/>
                <w:numId w:val="3"/>
              </w:numPr>
              <w:autoSpaceDE/>
              <w:autoSpaceDN/>
              <w:adjustRightInd/>
              <w:spacing w:before="0"/>
              <w:rPr>
                <w:sz w:val="18"/>
                <w:szCs w:val="18"/>
              </w:rPr>
            </w:pPr>
            <w:r>
              <w:rPr>
                <w:sz w:val="18"/>
                <w:szCs w:val="18"/>
              </w:rPr>
              <w:t>Criteria are in every country different</w:t>
            </w:r>
          </w:p>
          <w:p w:rsidR="00F45A1B" w:rsidRDefault="00F45A1B" w:rsidP="005D2994">
            <w:pPr>
              <w:pStyle w:val="Listenabsatz"/>
              <w:numPr>
                <w:ilvl w:val="0"/>
                <w:numId w:val="3"/>
              </w:numPr>
              <w:autoSpaceDE/>
              <w:autoSpaceDN/>
              <w:adjustRightInd/>
              <w:spacing w:before="0"/>
              <w:rPr>
                <w:sz w:val="18"/>
                <w:szCs w:val="18"/>
              </w:rPr>
            </w:pPr>
            <w:r>
              <w:rPr>
                <w:sz w:val="18"/>
                <w:szCs w:val="18"/>
              </w:rPr>
              <w:t>Different identification of national lanes</w:t>
            </w:r>
          </w:p>
          <w:p w:rsidR="00F45A1B" w:rsidRDefault="00F45A1B" w:rsidP="005D2994">
            <w:pPr>
              <w:pStyle w:val="Listenabsatz"/>
              <w:numPr>
                <w:ilvl w:val="0"/>
                <w:numId w:val="3"/>
              </w:numPr>
              <w:autoSpaceDE/>
              <w:autoSpaceDN/>
              <w:adjustRightInd/>
              <w:spacing w:before="0"/>
              <w:rPr>
                <w:sz w:val="18"/>
                <w:szCs w:val="18"/>
              </w:rPr>
            </w:pPr>
            <w:r>
              <w:rPr>
                <w:sz w:val="18"/>
                <w:szCs w:val="18"/>
              </w:rPr>
              <w:t>Different approach of priority (soft or hard spatial claim)</w:t>
            </w:r>
          </w:p>
          <w:p w:rsidR="00F45A1B" w:rsidRDefault="00F45A1B" w:rsidP="005D2994">
            <w:pPr>
              <w:pStyle w:val="Listenabsatz"/>
              <w:numPr>
                <w:ilvl w:val="0"/>
                <w:numId w:val="3"/>
              </w:numPr>
              <w:autoSpaceDE/>
              <w:autoSpaceDN/>
              <w:adjustRightInd/>
              <w:spacing w:before="0"/>
              <w:rPr>
                <w:sz w:val="18"/>
                <w:szCs w:val="18"/>
              </w:rPr>
            </w:pPr>
            <w:r>
              <w:rPr>
                <w:sz w:val="18"/>
                <w:szCs w:val="18"/>
              </w:rPr>
              <w:t>Shipping expert involved in planning</w:t>
            </w:r>
          </w:p>
          <w:p w:rsidR="00F45A1B" w:rsidRPr="00382DA1" w:rsidRDefault="00F45A1B" w:rsidP="005D2994">
            <w:pPr>
              <w:pStyle w:val="Listenabsatz"/>
              <w:numPr>
                <w:ilvl w:val="0"/>
                <w:numId w:val="3"/>
              </w:numPr>
              <w:autoSpaceDE/>
              <w:autoSpaceDN/>
              <w:adjustRightInd/>
              <w:spacing w:before="0"/>
              <w:rPr>
                <w:sz w:val="18"/>
                <w:szCs w:val="18"/>
              </w:rPr>
            </w:pPr>
            <w:r>
              <w:rPr>
                <w:sz w:val="18"/>
                <w:szCs w:val="18"/>
              </w:rPr>
              <w:t>OWF construction is an issue</w:t>
            </w:r>
          </w:p>
        </w:tc>
        <w:tc>
          <w:tcPr>
            <w:tcW w:w="4437" w:type="dxa"/>
          </w:tcPr>
          <w:p w:rsidR="00F45A1B" w:rsidRDefault="00F45A1B" w:rsidP="005D2994">
            <w:pPr>
              <w:pStyle w:val="Listenabsatz"/>
              <w:numPr>
                <w:ilvl w:val="0"/>
                <w:numId w:val="3"/>
              </w:numPr>
              <w:autoSpaceDE/>
              <w:autoSpaceDN/>
              <w:adjustRightInd/>
              <w:spacing w:before="0"/>
              <w:rPr>
                <w:sz w:val="18"/>
                <w:szCs w:val="18"/>
              </w:rPr>
            </w:pPr>
            <w:r>
              <w:rPr>
                <w:sz w:val="18"/>
                <w:szCs w:val="18"/>
              </w:rPr>
              <w:t xml:space="preserve">Try to find and use </w:t>
            </w:r>
            <w:proofErr w:type="spellStart"/>
            <w:r>
              <w:rPr>
                <w:sz w:val="18"/>
                <w:szCs w:val="18"/>
              </w:rPr>
              <w:t>similiar</w:t>
            </w:r>
            <w:proofErr w:type="spellEnd"/>
            <w:r>
              <w:rPr>
                <w:sz w:val="18"/>
                <w:szCs w:val="18"/>
              </w:rPr>
              <w:t xml:space="preserve"> criteria</w:t>
            </w:r>
          </w:p>
          <w:p w:rsidR="00F45A1B" w:rsidRDefault="00F45A1B" w:rsidP="005D2994">
            <w:pPr>
              <w:pStyle w:val="Listenabsatz"/>
              <w:numPr>
                <w:ilvl w:val="0"/>
                <w:numId w:val="3"/>
              </w:numPr>
              <w:autoSpaceDE/>
              <w:autoSpaceDN/>
              <w:adjustRightInd/>
              <w:spacing w:before="0"/>
              <w:rPr>
                <w:sz w:val="18"/>
                <w:szCs w:val="18"/>
              </w:rPr>
            </w:pPr>
            <w:r>
              <w:rPr>
                <w:sz w:val="18"/>
                <w:szCs w:val="18"/>
              </w:rPr>
              <w:t>Discuss with shipping experts at the final conference</w:t>
            </w:r>
          </w:p>
          <w:p w:rsidR="00F45A1B" w:rsidRDefault="00F45A1B" w:rsidP="005D2994">
            <w:pPr>
              <w:pStyle w:val="Listenabsatz"/>
              <w:numPr>
                <w:ilvl w:val="0"/>
                <w:numId w:val="3"/>
              </w:numPr>
              <w:autoSpaceDE/>
              <w:autoSpaceDN/>
              <w:adjustRightInd/>
              <w:spacing w:before="0"/>
              <w:rPr>
                <w:sz w:val="18"/>
                <w:szCs w:val="18"/>
              </w:rPr>
            </w:pPr>
            <w:r>
              <w:rPr>
                <w:sz w:val="18"/>
                <w:szCs w:val="18"/>
              </w:rPr>
              <w:t>Create a North Sea body (coherence)</w:t>
            </w:r>
          </w:p>
          <w:p w:rsidR="00F45A1B" w:rsidRPr="00382DA1" w:rsidRDefault="00F45A1B" w:rsidP="005D2994">
            <w:pPr>
              <w:pStyle w:val="Listenabsatz"/>
              <w:numPr>
                <w:ilvl w:val="0"/>
                <w:numId w:val="3"/>
              </w:numPr>
              <w:autoSpaceDE/>
              <w:autoSpaceDN/>
              <w:adjustRightInd/>
              <w:spacing w:before="0"/>
              <w:rPr>
                <w:sz w:val="18"/>
                <w:szCs w:val="18"/>
              </w:rPr>
            </w:pPr>
            <w:r>
              <w:rPr>
                <w:sz w:val="18"/>
                <w:szCs w:val="18"/>
              </w:rPr>
              <w:t xml:space="preserve">Education of non-experts (have a </w:t>
            </w:r>
            <w:proofErr w:type="spellStart"/>
            <w:r>
              <w:rPr>
                <w:sz w:val="18"/>
                <w:szCs w:val="18"/>
              </w:rPr>
              <w:t>similiar</w:t>
            </w:r>
            <w:proofErr w:type="spellEnd"/>
            <w:r>
              <w:rPr>
                <w:sz w:val="18"/>
                <w:szCs w:val="18"/>
              </w:rPr>
              <w:t xml:space="preserve"> terminology between planners and practice/ industry)</w:t>
            </w:r>
          </w:p>
        </w:tc>
      </w:tr>
    </w:tbl>
    <w:p w:rsidR="00D7163A" w:rsidRPr="00F45A1B" w:rsidRDefault="00D7163A" w:rsidP="00027832">
      <w:pPr>
        <w:tabs>
          <w:tab w:val="left" w:pos="2640"/>
        </w:tabs>
        <w:ind w:left="-709"/>
        <w:jc w:val="center"/>
        <w:rPr>
          <w:b/>
        </w:rPr>
      </w:pPr>
    </w:p>
    <w:p w:rsidR="004972F7" w:rsidRPr="00352674" w:rsidRDefault="004972F7" w:rsidP="004225D8">
      <w:pPr>
        <w:tabs>
          <w:tab w:val="left" w:pos="2640"/>
        </w:tabs>
        <w:sectPr w:rsidR="004972F7" w:rsidRPr="00352674" w:rsidSect="00D7163A">
          <w:headerReference w:type="default" r:id="rId8"/>
          <w:footerReference w:type="default" r:id="rId9"/>
          <w:pgSz w:w="16839" w:h="11907" w:orient="landscape" w:code="9"/>
          <w:pgMar w:top="1418" w:right="1701" w:bottom="992" w:left="1843" w:header="571" w:footer="1800" w:gutter="0"/>
          <w:cols w:space="720"/>
          <w:docGrid w:linePitch="360"/>
        </w:sectPr>
      </w:pPr>
    </w:p>
    <w:p w:rsidR="00446ABB" w:rsidRPr="00446ABB" w:rsidRDefault="00446ABB" w:rsidP="00446ABB"/>
    <w:sectPr w:rsidR="00446ABB" w:rsidRPr="00446ABB" w:rsidSect="00471650">
      <w:headerReference w:type="default" r:id="rId10"/>
      <w:footerReference w:type="default" r:id="rId11"/>
      <w:pgSz w:w="11907" w:h="16839" w:code="9"/>
      <w:pgMar w:top="1701" w:right="992" w:bottom="1843" w:left="1418" w:header="5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994" w:rsidRDefault="005D2994" w:rsidP="00BC146D">
      <w:r>
        <w:separator/>
      </w:r>
    </w:p>
  </w:endnote>
  <w:endnote w:type="continuationSeparator" w:id="0">
    <w:p w:rsidR="005D2994" w:rsidRDefault="005D2994" w:rsidP="00B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oSansLight">
    <w:altName w:val="Calibri"/>
    <w:panose1 w:val="020B0604020202020204"/>
    <w:charset w:val="00"/>
    <w:family w:val="auto"/>
    <w:pitch w:val="variable"/>
    <w:sig w:usb0="00000003" w:usb1="00000000" w:usb2="00000000" w:usb3="00000000" w:csb0="00000001" w:csb1="00000000"/>
  </w:font>
  <w:font w:name="Neo Sans Bold">
    <w:altName w:val="Calibri"/>
    <w:panose1 w:val="020B0604020202020204"/>
    <w:charset w:val="00"/>
    <w:family w:val="swiss"/>
    <w:notTrueType/>
    <w:pitch w:val="default"/>
    <w:sig w:usb0="00000003" w:usb1="00000000" w:usb2="00000000" w:usb3="00000000" w:csb0="00000001" w:csb1="00000000"/>
  </w:font>
  <w:font w:name="NeoSans Bold">
    <w:altName w:val="Calibri"/>
    <w:panose1 w:val="020B0604020202020204"/>
    <w:charset w:val="00"/>
    <w:family w:val="auto"/>
    <w:pitch w:val="variable"/>
    <w:sig w:usb0="A00000AF" w:usb1="4000204A" w:usb2="00000000" w:usb3="00000000" w:csb0="00000191" w:csb1="00000000"/>
  </w:font>
  <w:font w:name="Tahoma">
    <w:panose1 w:val="020B0604030504040204"/>
    <w:charset w:val="00"/>
    <w:family w:val="swiss"/>
    <w:pitch w:val="variable"/>
    <w:sig w:usb0="E1002EFF" w:usb1="C000605B" w:usb2="00000029" w:usb3="00000000" w:csb0="000101FF" w:csb1="00000000"/>
  </w:font>
  <w:font w:name="NeoSans Medium">
    <w:altName w:val="Calibri"/>
    <w:panose1 w:val="020B0604020202020204"/>
    <w:charset w:val="00"/>
    <w:family w:val="auto"/>
    <w:pitch w:val="variable"/>
    <w:sig w:usb0="A00000AF" w:usb1="4000204A" w:usb2="00000000" w:usb3="00000000" w:csb0="00000111" w:csb1="00000000"/>
  </w:font>
  <w:font w:name="Cambria">
    <w:panose1 w:val="02040503050406030204"/>
    <w:charset w:val="00"/>
    <w:family w:val="roman"/>
    <w:pitch w:val="variable"/>
    <w:sig w:usb0="A00002EF" w:usb1="4000004B" w:usb2="00000000" w:usb3="00000000" w:csb0="0000009F" w:csb1="00000000"/>
  </w:font>
  <w:font w:name="RijksoverheidSansText">
    <w:altName w:val="RijksoverheidSansText"/>
    <w:panose1 w:val="020B0604020202020204"/>
    <w:charset w:val="00"/>
    <w:family w:val="swiss"/>
    <w:notTrueType/>
    <w:pitch w:val="default"/>
    <w:sig w:usb0="00000003" w:usb1="00000000" w:usb2="00000000" w:usb3="00000000" w:csb0="00000001" w:csb1="00000000"/>
  </w:font>
  <w:font w:name="RijksoverheidSerif">
    <w:altName w:val="RijksoverheidSerif"/>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2F7" w:rsidRDefault="00352674" w:rsidP="00BC146D">
    <w:pPr>
      <w:pStyle w:val="Fuzeile"/>
    </w:pPr>
    <w:r>
      <w:rPr>
        <w:noProof/>
      </w:rPr>
      <w:drawing>
        <wp:anchor distT="0" distB="0" distL="114300" distR="114300" simplePos="0" relativeHeight="251664896" behindDoc="1" locked="0" layoutInCell="1" allowOverlap="1" wp14:anchorId="3EDF882F" wp14:editId="20783730">
          <wp:simplePos x="0" y="0"/>
          <wp:positionH relativeFrom="page">
            <wp:align>left</wp:align>
          </wp:positionH>
          <wp:positionV relativeFrom="page">
            <wp:align>bottom</wp:align>
          </wp:positionV>
          <wp:extent cx="10721520" cy="1576080"/>
          <wp:effectExtent l="0" t="0" r="3810" b="5080"/>
          <wp:wrapNone/>
          <wp:docPr id="52"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ea_lapa_A4_horizontal_apaksa-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1520" cy="1576080"/>
                  </a:xfrm>
                  <a:prstGeom prst="rect">
                    <a:avLst/>
                  </a:prstGeom>
                </pic:spPr>
              </pic:pic>
            </a:graphicData>
          </a:graphic>
          <wp14:sizeRelH relativeFrom="page">
            <wp14:pctWidth>0</wp14:pctWidth>
          </wp14:sizeRelH>
          <wp14:sizeRelV relativeFrom="page">
            <wp14:pctHeight>0</wp14:pctHeight>
          </wp14:sizeRelV>
        </wp:anchor>
      </w:drawing>
    </w:r>
    <w:r w:rsidR="004972F7">
      <w:rPr>
        <w:noProof/>
      </w:rPr>
      <w:drawing>
        <wp:anchor distT="0" distB="0" distL="114300" distR="114300" simplePos="0" relativeHeight="251663872" behindDoc="1" locked="0" layoutInCell="1" allowOverlap="1" wp14:anchorId="3EE9E42F" wp14:editId="2DE3BE4F">
          <wp:simplePos x="0" y="0"/>
          <wp:positionH relativeFrom="page">
            <wp:posOffset>-36195</wp:posOffset>
          </wp:positionH>
          <wp:positionV relativeFrom="page">
            <wp:posOffset>9368870</wp:posOffset>
          </wp:positionV>
          <wp:extent cx="7558560" cy="1347480"/>
          <wp:effectExtent l="0" t="0" r="0" b="5080"/>
          <wp:wrapNone/>
          <wp:docPr id="53"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apaksa vertikal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8560" cy="1347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74" w:rsidRDefault="00352674" w:rsidP="00BC146D">
    <w:pPr>
      <w:pStyle w:val="Fuzeile"/>
    </w:pPr>
    <w:r>
      <w:rPr>
        <w:noProof/>
      </w:rPr>
      <w:drawing>
        <wp:anchor distT="0" distB="0" distL="114300" distR="114300" simplePos="0" relativeHeight="251668480" behindDoc="1" locked="0" layoutInCell="1" allowOverlap="1" wp14:anchorId="0184172E" wp14:editId="4379FBCE">
          <wp:simplePos x="0" y="0"/>
          <wp:positionH relativeFrom="page">
            <wp:posOffset>-29497</wp:posOffset>
          </wp:positionH>
          <wp:positionV relativeFrom="page">
            <wp:posOffset>9365401</wp:posOffset>
          </wp:positionV>
          <wp:extent cx="7558560" cy="1347130"/>
          <wp:effectExtent l="0" t="0" r="0" b="5715"/>
          <wp:wrapNone/>
          <wp:docPr id="55"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apaksa vertik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560" cy="1347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994" w:rsidRDefault="005D2994" w:rsidP="00BC146D">
      <w:r>
        <w:separator/>
      </w:r>
    </w:p>
  </w:footnote>
  <w:footnote w:type="continuationSeparator" w:id="0">
    <w:p w:rsidR="005D2994" w:rsidRDefault="005D2994" w:rsidP="00BC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2F7" w:rsidRPr="00F92DE1" w:rsidRDefault="004972F7" w:rsidP="00BC146D">
    <w:pPr>
      <w:pStyle w:val="Kopfzeile"/>
      <w:spacing w:before="0"/>
      <w:jc w:val="right"/>
    </w:pPr>
    <w:r>
      <w:rPr>
        <w:noProof/>
      </w:rPr>
      <w:drawing>
        <wp:anchor distT="0" distB="0" distL="114300" distR="114300" simplePos="0" relativeHeight="251651584" behindDoc="1" locked="0" layoutInCell="1" allowOverlap="1" wp14:anchorId="586402FD" wp14:editId="0FD37942">
          <wp:simplePos x="0" y="0"/>
          <wp:positionH relativeFrom="page">
            <wp:align>left</wp:align>
          </wp:positionH>
          <wp:positionV relativeFrom="page">
            <wp:align>top</wp:align>
          </wp:positionV>
          <wp:extent cx="10725120" cy="833040"/>
          <wp:effectExtent l="0" t="0" r="635" b="5715"/>
          <wp:wrapNone/>
          <wp:docPr id="51"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lapa vertikali.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25120" cy="83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74" w:rsidRPr="00F92DE1" w:rsidRDefault="00C9738F" w:rsidP="004225D8">
    <w:pPr>
      <w:pStyle w:val="Kopfzeile"/>
      <w:spacing w:before="0"/>
      <w:jc w:val="center"/>
    </w:pPr>
    <w:r>
      <w:rPr>
        <w:noProof/>
      </w:rPr>
      <w:drawing>
        <wp:anchor distT="0" distB="0" distL="114300" distR="114300" simplePos="0" relativeHeight="251660288" behindDoc="1" locked="0" layoutInCell="1" allowOverlap="1" wp14:anchorId="6551DC98" wp14:editId="1088AFFA">
          <wp:simplePos x="0" y="0"/>
          <wp:positionH relativeFrom="page">
            <wp:posOffset>4445</wp:posOffset>
          </wp:positionH>
          <wp:positionV relativeFrom="page">
            <wp:posOffset>4445</wp:posOffset>
          </wp:positionV>
          <wp:extent cx="7559640" cy="751680"/>
          <wp:effectExtent l="0" t="0" r="3810" b="0"/>
          <wp:wrapNone/>
          <wp:docPr id="54"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lapa vertikali.png"/>
                  <pic:cNvPicPr/>
                </pic:nvPicPr>
                <pic:blipFill rotWithShape="1">
                  <a:blip r:embed="rId1" cstate="print">
                    <a:extLst>
                      <a:ext uri="{28A0092B-C50C-407E-A947-70E740481C1C}">
                        <a14:useLocalDpi xmlns:a14="http://schemas.microsoft.com/office/drawing/2010/main" val="0"/>
                      </a:ext>
                    </a:extLst>
                  </a:blip>
                  <a:srcRect l="-3836"/>
                  <a:stretch/>
                </pic:blipFill>
                <pic:spPr bwMode="auto">
                  <a:xfrm>
                    <a:off x="0" y="0"/>
                    <a:ext cx="7559640" cy="75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937475360"/>
        <w:docPartObj>
          <w:docPartGallery w:val="Page Numbers (Top of Page)"/>
          <w:docPartUnique/>
        </w:docPartObj>
      </w:sdtPr>
      <w:sdtEndPr>
        <w:rPr>
          <w:noProof/>
        </w:r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15pt;height:9.15pt" o:bullet="t">
        <v:imagedata r:id="rId1" o:title="KVADRATINS"/>
      </v:shape>
    </w:pict>
  </w:numPicBullet>
  <w:abstractNum w:abstractNumId="0" w15:restartNumberingAfterBreak="0">
    <w:nsid w:val="00282498"/>
    <w:multiLevelType w:val="hybridMultilevel"/>
    <w:tmpl w:val="DF7A0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3A66AB"/>
    <w:multiLevelType w:val="multilevel"/>
    <w:tmpl w:val="9B0EEBB8"/>
    <w:styleLink w:val="Style1"/>
    <w:lvl w:ilvl="0">
      <w:start w:val="1"/>
      <w:numFmt w:val="bullet"/>
      <w:lvlText w:val=""/>
      <w:lvlPicBulletId w:val="0"/>
      <w:lvlJc w:val="left"/>
      <w:pPr>
        <w:ind w:left="720" w:hanging="360"/>
      </w:pPr>
      <w:rPr>
        <w:rFonts w:ascii="Symbol" w:hAnsi="Symbol" w:hint="default"/>
        <w:color w:val="auto"/>
        <w:u w:color="8DB3E2" w:themeColor="text2" w:themeTint="66"/>
      </w:rPr>
    </w:lvl>
    <w:lvl w:ilvl="1">
      <w:start w:val="1"/>
      <w:numFmt w:val="bullet"/>
      <w:lvlText w:val=""/>
      <w:lvlJc w:val="left"/>
      <w:pPr>
        <w:ind w:left="1077" w:hanging="368"/>
      </w:pPr>
      <w:rPr>
        <w:rFonts w:ascii="Wingdings" w:hAnsi="Wingdings" w:hint="default"/>
        <w:color w:val="89A379"/>
      </w:rPr>
    </w:lvl>
    <w:lvl w:ilvl="2">
      <w:start w:val="1"/>
      <w:numFmt w:val="bullet"/>
      <w:lvlText w:val=""/>
      <w:lvlJc w:val="left"/>
      <w:pPr>
        <w:ind w:left="1503" w:hanging="369"/>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5794E77"/>
    <w:multiLevelType w:val="multilevel"/>
    <w:tmpl w:val="9B0EEBB8"/>
    <w:lvl w:ilvl="0">
      <w:start w:val="1"/>
      <w:numFmt w:val="bullet"/>
      <w:pStyle w:val="Listenabsatz"/>
      <w:lvlText w:val=""/>
      <w:lvlPicBulletId w:val="0"/>
      <w:lvlJc w:val="left"/>
      <w:pPr>
        <w:ind w:left="720" w:hanging="360"/>
      </w:pPr>
      <w:rPr>
        <w:rFonts w:ascii="Symbol" w:hAnsi="Symbol" w:hint="default"/>
        <w:color w:val="auto"/>
        <w:u w:color="8DB3E2" w:themeColor="text2" w:themeTint="66"/>
      </w:rPr>
    </w:lvl>
    <w:lvl w:ilvl="1">
      <w:start w:val="1"/>
      <w:numFmt w:val="bullet"/>
      <w:lvlText w:val=""/>
      <w:lvlJc w:val="left"/>
      <w:pPr>
        <w:ind w:left="1077" w:hanging="368"/>
      </w:pPr>
      <w:rPr>
        <w:rFonts w:ascii="Wingdings" w:hAnsi="Wingdings" w:hint="default"/>
        <w:color w:val="627B8E"/>
      </w:rPr>
    </w:lvl>
    <w:lvl w:ilvl="2">
      <w:start w:val="1"/>
      <w:numFmt w:val="bullet"/>
      <w:lvlText w:val=""/>
      <w:lvlJc w:val="left"/>
      <w:pPr>
        <w:ind w:left="1503" w:hanging="369"/>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embedSystemFont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D8"/>
    <w:rsid w:val="00013111"/>
    <w:rsid w:val="00027832"/>
    <w:rsid w:val="00035251"/>
    <w:rsid w:val="000D5E41"/>
    <w:rsid w:val="000E02DF"/>
    <w:rsid w:val="001066E6"/>
    <w:rsid w:val="00194DB8"/>
    <w:rsid w:val="001B1669"/>
    <w:rsid w:val="001E63A2"/>
    <w:rsid w:val="001E7621"/>
    <w:rsid w:val="00262AC7"/>
    <w:rsid w:val="002828DE"/>
    <w:rsid w:val="00300E67"/>
    <w:rsid w:val="00347499"/>
    <w:rsid w:val="00352674"/>
    <w:rsid w:val="00380C20"/>
    <w:rsid w:val="003B3B15"/>
    <w:rsid w:val="003B3FA5"/>
    <w:rsid w:val="004030D9"/>
    <w:rsid w:val="004149BE"/>
    <w:rsid w:val="004225D8"/>
    <w:rsid w:val="00446ABB"/>
    <w:rsid w:val="00450C3F"/>
    <w:rsid w:val="00471650"/>
    <w:rsid w:val="004972F7"/>
    <w:rsid w:val="004A5A30"/>
    <w:rsid w:val="004C2AC0"/>
    <w:rsid w:val="0050402B"/>
    <w:rsid w:val="00521E9F"/>
    <w:rsid w:val="00540365"/>
    <w:rsid w:val="00556CD9"/>
    <w:rsid w:val="005573C1"/>
    <w:rsid w:val="00564FDD"/>
    <w:rsid w:val="00586290"/>
    <w:rsid w:val="005A35C6"/>
    <w:rsid w:val="005D2994"/>
    <w:rsid w:val="005E6212"/>
    <w:rsid w:val="00602171"/>
    <w:rsid w:val="0066733D"/>
    <w:rsid w:val="00684B69"/>
    <w:rsid w:val="006A1B50"/>
    <w:rsid w:val="006B7376"/>
    <w:rsid w:val="007358D6"/>
    <w:rsid w:val="007759ED"/>
    <w:rsid w:val="007E56C5"/>
    <w:rsid w:val="0086130D"/>
    <w:rsid w:val="009055EA"/>
    <w:rsid w:val="00954FD8"/>
    <w:rsid w:val="009E0BAB"/>
    <w:rsid w:val="00A30A6C"/>
    <w:rsid w:val="00A34793"/>
    <w:rsid w:val="00A71046"/>
    <w:rsid w:val="00AE273C"/>
    <w:rsid w:val="00B56211"/>
    <w:rsid w:val="00B91CC4"/>
    <w:rsid w:val="00BA0EFD"/>
    <w:rsid w:val="00BC146D"/>
    <w:rsid w:val="00C46159"/>
    <w:rsid w:val="00C75772"/>
    <w:rsid w:val="00C81676"/>
    <w:rsid w:val="00C9738F"/>
    <w:rsid w:val="00CD3084"/>
    <w:rsid w:val="00D2176E"/>
    <w:rsid w:val="00D34A33"/>
    <w:rsid w:val="00D7163A"/>
    <w:rsid w:val="00D9145A"/>
    <w:rsid w:val="00D9410E"/>
    <w:rsid w:val="00E03BAC"/>
    <w:rsid w:val="00E21C24"/>
    <w:rsid w:val="00E5343B"/>
    <w:rsid w:val="00F14DEF"/>
    <w:rsid w:val="00F32ECA"/>
    <w:rsid w:val="00F45A1B"/>
    <w:rsid w:val="00F92DE1"/>
    <w:rsid w:val="00F93C48"/>
    <w:rsid w:val="00FA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521DB"/>
  <w15:docId w15:val="{0ED708D0-27E6-4E49-9741-2BCD9A9C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55EA"/>
    <w:pPr>
      <w:autoSpaceDE w:val="0"/>
      <w:autoSpaceDN w:val="0"/>
      <w:adjustRightInd w:val="0"/>
      <w:spacing w:before="200"/>
    </w:pPr>
    <w:rPr>
      <w:rFonts w:cs="NeoSansLight"/>
    </w:rPr>
  </w:style>
  <w:style w:type="paragraph" w:styleId="berschrift1">
    <w:name w:val="heading 1"/>
    <w:basedOn w:val="Pa3"/>
    <w:next w:val="Standard"/>
    <w:link w:val="berschrift1Zchn"/>
    <w:uiPriority w:val="9"/>
    <w:qFormat/>
    <w:rsid w:val="00D2176E"/>
    <w:pPr>
      <w:spacing w:before="120" w:after="120" w:line="276" w:lineRule="auto"/>
      <w:outlineLvl w:val="0"/>
    </w:pPr>
    <w:rPr>
      <w:rFonts w:ascii="Calibri" w:hAnsi="Calibri"/>
      <w:b/>
      <w:color w:val="4B4F54"/>
      <w:sz w:val="48"/>
    </w:rPr>
  </w:style>
  <w:style w:type="paragraph" w:styleId="berschrift2">
    <w:name w:val="heading 2"/>
    <w:basedOn w:val="Default"/>
    <w:next w:val="Standard"/>
    <w:link w:val="berschrift2Zchn"/>
    <w:uiPriority w:val="9"/>
    <w:unhideWhenUsed/>
    <w:qFormat/>
    <w:rsid w:val="00D2176E"/>
    <w:pPr>
      <w:spacing w:before="200" w:after="200" w:line="241" w:lineRule="atLeast"/>
      <w:outlineLvl w:val="1"/>
    </w:pPr>
    <w:rPr>
      <w:rFonts w:asciiTheme="minorHAnsi" w:hAnsiTheme="minorHAnsi" w:cs="Neo Sans Bold"/>
      <w:b/>
      <w:bCs/>
      <w:color w:val="auto"/>
      <w:sz w:val="32"/>
      <w:szCs w:val="28"/>
    </w:rPr>
  </w:style>
  <w:style w:type="paragraph" w:styleId="berschrift3">
    <w:name w:val="heading 3"/>
    <w:basedOn w:val="Pa1"/>
    <w:next w:val="Standard"/>
    <w:link w:val="berschrift3Zchn"/>
    <w:uiPriority w:val="9"/>
    <w:unhideWhenUsed/>
    <w:qFormat/>
    <w:rsid w:val="00471650"/>
    <w:pPr>
      <w:spacing w:before="200" w:after="200" w:line="220" w:lineRule="atLeast"/>
      <w:outlineLvl w:val="2"/>
    </w:pPr>
    <w:rPr>
      <w:rFonts w:ascii="Calibri" w:hAnsi="Calibri" w:cs="NeoSans Bold"/>
      <w:b/>
      <w:bCs/>
      <w:color w:val="89A379"/>
      <w:sz w:val="28"/>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3BA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03BAC"/>
    <w:rPr>
      <w:lang w:val="lv-LV"/>
    </w:rPr>
  </w:style>
  <w:style w:type="paragraph" w:styleId="Fuzeile">
    <w:name w:val="footer"/>
    <w:basedOn w:val="Standard"/>
    <w:link w:val="FuzeileZchn"/>
    <w:uiPriority w:val="99"/>
    <w:unhideWhenUsed/>
    <w:rsid w:val="00E03BA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03BAC"/>
    <w:rPr>
      <w:lang w:val="lv-LV"/>
    </w:rPr>
  </w:style>
  <w:style w:type="paragraph" w:styleId="Sprechblasentext">
    <w:name w:val="Balloon Text"/>
    <w:basedOn w:val="Standard"/>
    <w:link w:val="SprechblasentextZchn"/>
    <w:uiPriority w:val="99"/>
    <w:semiHidden/>
    <w:unhideWhenUsed/>
    <w:rsid w:val="00E03B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BAC"/>
    <w:rPr>
      <w:rFonts w:ascii="Tahoma" w:hAnsi="Tahoma" w:cs="Tahoma"/>
      <w:sz w:val="16"/>
      <w:szCs w:val="16"/>
      <w:lang w:val="lv-LV"/>
    </w:rPr>
  </w:style>
  <w:style w:type="paragraph" w:customStyle="1" w:styleId="Default">
    <w:name w:val="Default"/>
    <w:rsid w:val="005A35C6"/>
    <w:pPr>
      <w:autoSpaceDE w:val="0"/>
      <w:autoSpaceDN w:val="0"/>
      <w:adjustRightInd w:val="0"/>
      <w:spacing w:after="0" w:line="240" w:lineRule="auto"/>
    </w:pPr>
    <w:rPr>
      <w:rFonts w:ascii="NeoSans Medium" w:hAnsi="NeoSans Medium" w:cs="NeoSans Medium"/>
      <w:color w:val="000000"/>
      <w:sz w:val="24"/>
      <w:szCs w:val="24"/>
    </w:rPr>
  </w:style>
  <w:style w:type="paragraph" w:customStyle="1" w:styleId="Pa1">
    <w:name w:val="Pa1"/>
    <w:basedOn w:val="Default"/>
    <w:next w:val="Default"/>
    <w:uiPriority w:val="99"/>
    <w:rsid w:val="005A35C6"/>
    <w:pPr>
      <w:spacing w:line="221" w:lineRule="atLeast"/>
    </w:pPr>
    <w:rPr>
      <w:rFonts w:cstheme="minorBidi"/>
      <w:color w:val="auto"/>
    </w:rPr>
  </w:style>
  <w:style w:type="paragraph" w:customStyle="1" w:styleId="Pa3">
    <w:name w:val="Pa3"/>
    <w:basedOn w:val="Default"/>
    <w:next w:val="Default"/>
    <w:uiPriority w:val="99"/>
    <w:rsid w:val="001E63A2"/>
    <w:pPr>
      <w:spacing w:line="221" w:lineRule="atLeast"/>
    </w:pPr>
    <w:rPr>
      <w:rFonts w:cstheme="minorBidi"/>
      <w:color w:val="auto"/>
    </w:rPr>
  </w:style>
  <w:style w:type="character" w:customStyle="1" w:styleId="A6">
    <w:name w:val="A6"/>
    <w:uiPriority w:val="99"/>
    <w:rsid w:val="001E63A2"/>
    <w:rPr>
      <w:rFonts w:cs="NeoSans Medium"/>
      <w:color w:val="000000"/>
      <w:sz w:val="46"/>
      <w:szCs w:val="46"/>
    </w:rPr>
  </w:style>
  <w:style w:type="paragraph" w:customStyle="1" w:styleId="Pa4">
    <w:name w:val="Pa4"/>
    <w:basedOn w:val="Default"/>
    <w:next w:val="Default"/>
    <w:uiPriority w:val="99"/>
    <w:rsid w:val="001E63A2"/>
    <w:pPr>
      <w:spacing w:line="221" w:lineRule="atLeast"/>
    </w:pPr>
    <w:rPr>
      <w:rFonts w:cstheme="minorBidi"/>
      <w:color w:val="auto"/>
    </w:rPr>
  </w:style>
  <w:style w:type="character" w:customStyle="1" w:styleId="berschrift1Zchn">
    <w:name w:val="Überschrift 1 Zchn"/>
    <w:basedOn w:val="Absatz-Standardschriftart"/>
    <w:link w:val="berschrift1"/>
    <w:uiPriority w:val="9"/>
    <w:rsid w:val="00D2176E"/>
    <w:rPr>
      <w:rFonts w:ascii="Calibri" w:hAnsi="Calibri"/>
      <w:b/>
      <w:color w:val="4B4F54"/>
      <w:sz w:val="48"/>
      <w:szCs w:val="24"/>
    </w:rPr>
  </w:style>
  <w:style w:type="character" w:customStyle="1" w:styleId="berschrift2Zchn">
    <w:name w:val="Überschrift 2 Zchn"/>
    <w:basedOn w:val="Absatz-Standardschriftart"/>
    <w:link w:val="berschrift2"/>
    <w:uiPriority w:val="9"/>
    <w:rsid w:val="00D2176E"/>
    <w:rPr>
      <w:rFonts w:cs="Neo Sans Bold"/>
      <w:b/>
      <w:bCs/>
      <w:sz w:val="32"/>
      <w:szCs w:val="28"/>
    </w:rPr>
  </w:style>
  <w:style w:type="paragraph" w:customStyle="1" w:styleId="Pa10">
    <w:name w:val="Pa10"/>
    <w:basedOn w:val="Default"/>
    <w:next w:val="Default"/>
    <w:uiPriority w:val="99"/>
    <w:rsid w:val="001E7621"/>
    <w:pPr>
      <w:spacing w:line="241" w:lineRule="atLeast"/>
    </w:pPr>
    <w:rPr>
      <w:rFonts w:cstheme="minorBidi"/>
      <w:color w:val="auto"/>
    </w:rPr>
  </w:style>
  <w:style w:type="character" w:customStyle="1" w:styleId="A1">
    <w:name w:val="A1"/>
    <w:uiPriority w:val="99"/>
    <w:rsid w:val="00C46159"/>
    <w:rPr>
      <w:rFonts w:cs="NeoSans Medium"/>
      <w:color w:val="000000"/>
      <w:sz w:val="46"/>
      <w:szCs w:val="46"/>
    </w:rPr>
  </w:style>
  <w:style w:type="paragraph" w:customStyle="1" w:styleId="Pa5">
    <w:name w:val="Pa5"/>
    <w:basedOn w:val="Default"/>
    <w:next w:val="Default"/>
    <w:uiPriority w:val="99"/>
    <w:rsid w:val="00C46159"/>
    <w:pPr>
      <w:spacing w:line="221" w:lineRule="atLeast"/>
    </w:pPr>
    <w:rPr>
      <w:rFonts w:cstheme="minorBidi"/>
      <w:color w:val="auto"/>
    </w:rPr>
  </w:style>
  <w:style w:type="paragraph" w:customStyle="1" w:styleId="Pa6">
    <w:name w:val="Pa6"/>
    <w:basedOn w:val="Default"/>
    <w:next w:val="Default"/>
    <w:uiPriority w:val="99"/>
    <w:rsid w:val="00C46159"/>
    <w:pPr>
      <w:spacing w:line="221" w:lineRule="atLeast"/>
    </w:pPr>
    <w:rPr>
      <w:rFonts w:cstheme="minorBidi"/>
      <w:color w:val="auto"/>
    </w:rPr>
  </w:style>
  <w:style w:type="character" w:customStyle="1" w:styleId="berschrift3Zchn">
    <w:name w:val="Überschrift 3 Zchn"/>
    <w:basedOn w:val="Absatz-Standardschriftart"/>
    <w:link w:val="berschrift3"/>
    <w:uiPriority w:val="9"/>
    <w:rsid w:val="00471650"/>
    <w:rPr>
      <w:rFonts w:ascii="Calibri" w:hAnsi="Calibri" w:cs="NeoSans Bold"/>
      <w:b/>
      <w:bCs/>
      <w:color w:val="89A379"/>
      <w:sz w:val="28"/>
      <w:szCs w:val="23"/>
    </w:rPr>
  </w:style>
  <w:style w:type="paragraph" w:styleId="Titel">
    <w:name w:val="Title"/>
    <w:basedOn w:val="Pa1"/>
    <w:next w:val="Standard"/>
    <w:link w:val="TitelZchn"/>
    <w:uiPriority w:val="10"/>
    <w:qFormat/>
    <w:rsid w:val="00D2176E"/>
    <w:pPr>
      <w:spacing w:line="360" w:lineRule="auto"/>
      <w:jc w:val="right"/>
    </w:pPr>
    <w:rPr>
      <w:rFonts w:ascii="Calibri" w:hAnsi="Calibri"/>
      <w:b/>
      <w:sz w:val="60"/>
      <w:szCs w:val="58"/>
    </w:rPr>
  </w:style>
  <w:style w:type="character" w:customStyle="1" w:styleId="TitelZchn">
    <w:name w:val="Titel Zchn"/>
    <w:basedOn w:val="Absatz-Standardschriftart"/>
    <w:link w:val="Titel"/>
    <w:uiPriority w:val="10"/>
    <w:rsid w:val="00D2176E"/>
    <w:rPr>
      <w:rFonts w:ascii="Calibri" w:hAnsi="Calibri"/>
      <w:b/>
      <w:sz w:val="60"/>
      <w:szCs w:val="58"/>
    </w:rPr>
  </w:style>
  <w:style w:type="paragraph" w:styleId="Listenabsatz">
    <w:name w:val="List Paragraph"/>
    <w:basedOn w:val="Standard"/>
    <w:uiPriority w:val="34"/>
    <w:qFormat/>
    <w:rsid w:val="007759ED"/>
    <w:pPr>
      <w:numPr>
        <w:numId w:val="1"/>
      </w:numPr>
      <w:contextualSpacing/>
    </w:pPr>
  </w:style>
  <w:style w:type="character" w:customStyle="1" w:styleId="A5">
    <w:name w:val="A5"/>
    <w:uiPriority w:val="99"/>
    <w:rsid w:val="00194DB8"/>
    <w:rPr>
      <w:rFonts w:ascii="NeoSansLight" w:hAnsi="NeoSansLight" w:cs="NeoSansLight"/>
      <w:color w:val="000000"/>
      <w:sz w:val="18"/>
      <w:szCs w:val="18"/>
    </w:rPr>
  </w:style>
  <w:style w:type="paragraph" w:customStyle="1" w:styleId="Pa9">
    <w:name w:val="Pa9"/>
    <w:basedOn w:val="Default"/>
    <w:next w:val="Default"/>
    <w:uiPriority w:val="99"/>
    <w:rsid w:val="00450C3F"/>
    <w:pPr>
      <w:spacing w:line="221" w:lineRule="atLeast"/>
    </w:pPr>
    <w:rPr>
      <w:rFonts w:ascii="NeoSansLight" w:hAnsi="NeoSansLight" w:cstheme="minorBidi"/>
      <w:color w:val="auto"/>
    </w:rPr>
  </w:style>
  <w:style w:type="paragraph" w:customStyle="1" w:styleId="Pa11">
    <w:name w:val="Pa11"/>
    <w:basedOn w:val="Default"/>
    <w:next w:val="Default"/>
    <w:uiPriority w:val="99"/>
    <w:rsid w:val="00450C3F"/>
    <w:pPr>
      <w:spacing w:line="221" w:lineRule="atLeast"/>
    </w:pPr>
    <w:rPr>
      <w:rFonts w:ascii="NeoSansLight" w:hAnsi="NeoSansLight" w:cstheme="minorBidi"/>
      <w:color w:val="auto"/>
    </w:rPr>
  </w:style>
  <w:style w:type="paragraph" w:styleId="Untertitel">
    <w:name w:val="Subtitle"/>
    <w:basedOn w:val="Standard"/>
    <w:next w:val="Standard"/>
    <w:link w:val="UntertitelZchn"/>
    <w:uiPriority w:val="11"/>
    <w:qFormat/>
    <w:rsid w:val="00D2176E"/>
    <w:pPr>
      <w:numPr>
        <w:ilvl w:val="1"/>
      </w:numPr>
    </w:pPr>
    <w:rPr>
      <w:rFonts w:ascii="Calibri" w:eastAsiaTheme="majorEastAsia" w:hAnsi="Calibri" w:cstheme="majorBidi"/>
      <w:b/>
      <w:i/>
      <w:iCs/>
      <w:color w:val="627B8E"/>
      <w:spacing w:val="15"/>
      <w:sz w:val="26"/>
      <w:szCs w:val="24"/>
    </w:rPr>
  </w:style>
  <w:style w:type="character" w:customStyle="1" w:styleId="UntertitelZchn">
    <w:name w:val="Untertitel Zchn"/>
    <w:basedOn w:val="Absatz-Standardschriftart"/>
    <w:link w:val="Untertitel"/>
    <w:uiPriority w:val="11"/>
    <w:rsid w:val="00D2176E"/>
    <w:rPr>
      <w:rFonts w:ascii="Calibri" w:eastAsiaTheme="majorEastAsia" w:hAnsi="Calibri" w:cstheme="majorBidi"/>
      <w:b/>
      <w:i/>
      <w:iCs/>
      <w:color w:val="627B8E"/>
      <w:spacing w:val="15"/>
      <w:sz w:val="26"/>
      <w:szCs w:val="24"/>
    </w:rPr>
  </w:style>
  <w:style w:type="table" w:styleId="Tabellenraster">
    <w:name w:val="Table Grid"/>
    <w:basedOn w:val="NormaleTabelle"/>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446ABB"/>
    <w:pPr>
      <w:spacing w:line="241" w:lineRule="atLeast"/>
    </w:pPr>
    <w:rPr>
      <w:rFonts w:cstheme="minorBidi"/>
      <w:color w:val="auto"/>
    </w:rPr>
  </w:style>
  <w:style w:type="paragraph" w:customStyle="1" w:styleId="Pa21">
    <w:name w:val="Pa21"/>
    <w:basedOn w:val="Default"/>
    <w:next w:val="Default"/>
    <w:uiPriority w:val="99"/>
    <w:rsid w:val="00013111"/>
    <w:pPr>
      <w:spacing w:line="221" w:lineRule="atLeast"/>
    </w:pPr>
    <w:rPr>
      <w:rFonts w:ascii="NeoSansLight" w:hAnsi="NeoSansLight" w:cstheme="minorBidi"/>
      <w:color w:val="auto"/>
    </w:rPr>
  </w:style>
  <w:style w:type="paragraph" w:customStyle="1" w:styleId="Pa12">
    <w:name w:val="Pa12"/>
    <w:basedOn w:val="Default"/>
    <w:next w:val="Default"/>
    <w:uiPriority w:val="99"/>
    <w:rsid w:val="00013111"/>
    <w:pPr>
      <w:spacing w:line="221" w:lineRule="atLeast"/>
    </w:pPr>
    <w:rPr>
      <w:rFonts w:ascii="NeoSansLight" w:hAnsi="NeoSansLight" w:cstheme="minorBidi"/>
      <w:color w:val="auto"/>
    </w:rPr>
  </w:style>
  <w:style w:type="paragraph" w:customStyle="1" w:styleId="Pa13">
    <w:name w:val="Pa13"/>
    <w:basedOn w:val="Default"/>
    <w:next w:val="Default"/>
    <w:uiPriority w:val="99"/>
    <w:rsid w:val="00013111"/>
    <w:pPr>
      <w:spacing w:line="221" w:lineRule="atLeast"/>
    </w:pPr>
    <w:rPr>
      <w:rFonts w:ascii="NeoSansLight" w:hAnsi="NeoSansLight" w:cstheme="minorBidi"/>
      <w:color w:val="auto"/>
    </w:rPr>
  </w:style>
  <w:style w:type="paragraph" w:customStyle="1" w:styleId="Pa22">
    <w:name w:val="Pa22"/>
    <w:basedOn w:val="Default"/>
    <w:next w:val="Default"/>
    <w:uiPriority w:val="99"/>
    <w:rsid w:val="007358D6"/>
    <w:pPr>
      <w:spacing w:line="221" w:lineRule="atLeast"/>
    </w:pPr>
    <w:rPr>
      <w:rFonts w:ascii="NeoSansLight" w:hAnsi="NeoSansLight" w:cstheme="minorBidi"/>
      <w:color w:val="auto"/>
    </w:rPr>
  </w:style>
  <w:style w:type="table" w:customStyle="1" w:styleId="BalticLINes">
    <w:name w:val="Baltic LINes"/>
    <w:basedOn w:val="NormaleTabelle"/>
    <w:uiPriority w:val="99"/>
    <w:rsid w:val="004149BE"/>
    <w:pPr>
      <w:spacing w:after="0" w:line="240" w:lineRule="auto"/>
    </w:pPr>
    <w:tblPr>
      <w:tblBorders>
        <w:top w:val="single" w:sz="36" w:space="0" w:color="91ABB9"/>
        <w:bottom w:val="single" w:sz="36" w:space="0" w:color="91ABB9"/>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9E0BAB"/>
    <w:pPr>
      <w:keepNext/>
      <w:keepLines/>
      <w:autoSpaceDE/>
      <w:autoSpaceDN/>
      <w:adjustRightInd/>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Verzeichnis1">
    <w:name w:val="toc 1"/>
    <w:basedOn w:val="Standard"/>
    <w:next w:val="Standard"/>
    <w:autoRedefine/>
    <w:uiPriority w:val="39"/>
    <w:unhideWhenUsed/>
    <w:rsid w:val="009E0BAB"/>
    <w:pPr>
      <w:spacing w:after="100"/>
    </w:pPr>
  </w:style>
  <w:style w:type="paragraph" w:styleId="Verzeichnis2">
    <w:name w:val="toc 2"/>
    <w:basedOn w:val="Standard"/>
    <w:next w:val="Standard"/>
    <w:autoRedefine/>
    <w:uiPriority w:val="39"/>
    <w:unhideWhenUsed/>
    <w:rsid w:val="009E0BAB"/>
    <w:pPr>
      <w:spacing w:after="100"/>
      <w:ind w:left="220"/>
    </w:pPr>
  </w:style>
  <w:style w:type="paragraph" w:styleId="Verzeichnis3">
    <w:name w:val="toc 3"/>
    <w:basedOn w:val="Standard"/>
    <w:next w:val="Standard"/>
    <w:autoRedefine/>
    <w:uiPriority w:val="39"/>
    <w:unhideWhenUsed/>
    <w:rsid w:val="009E0BAB"/>
    <w:pPr>
      <w:spacing w:after="100"/>
      <w:ind w:left="440"/>
    </w:pPr>
  </w:style>
  <w:style w:type="character" w:styleId="Hyperlink">
    <w:name w:val="Hyperlink"/>
    <w:basedOn w:val="Absatz-Standardschriftart"/>
    <w:uiPriority w:val="99"/>
    <w:unhideWhenUsed/>
    <w:rsid w:val="009E0BAB"/>
    <w:rPr>
      <w:color w:val="0000FF" w:themeColor="hyperlink"/>
      <w:u w:val="single"/>
    </w:rPr>
  </w:style>
  <w:style w:type="paragraph" w:styleId="KeinLeerraum">
    <w:name w:val="No Spacing"/>
    <w:uiPriority w:val="1"/>
    <w:qFormat/>
    <w:rsid w:val="00D2176E"/>
    <w:pPr>
      <w:autoSpaceDE w:val="0"/>
      <w:autoSpaceDN w:val="0"/>
      <w:adjustRightInd w:val="0"/>
      <w:spacing w:after="0" w:line="240" w:lineRule="auto"/>
    </w:pPr>
    <w:rPr>
      <w:rFonts w:cs="NeoSansLight"/>
    </w:rPr>
  </w:style>
  <w:style w:type="character" w:styleId="IntensiveHervorhebung">
    <w:name w:val="Intense Emphasis"/>
    <w:basedOn w:val="Absatz-Standardschriftart"/>
    <w:uiPriority w:val="21"/>
    <w:qFormat/>
    <w:rsid w:val="00D2176E"/>
    <w:rPr>
      <w:b/>
      <w:bCs/>
      <w:i/>
      <w:iCs/>
      <w:color w:val="4F81BD" w:themeColor="accent1"/>
    </w:rPr>
  </w:style>
  <w:style w:type="numbering" w:customStyle="1" w:styleId="Style1">
    <w:name w:val="Style1"/>
    <w:uiPriority w:val="99"/>
    <w:rsid w:val="00262AC7"/>
    <w:pPr>
      <w:numPr>
        <w:numId w:val="2"/>
      </w:numPr>
    </w:pPr>
  </w:style>
  <w:style w:type="character" w:customStyle="1" w:styleId="A10">
    <w:name w:val="A10"/>
    <w:uiPriority w:val="99"/>
    <w:rsid w:val="00F45A1B"/>
    <w:rPr>
      <w:rFonts w:ascii="RijksoverheidSansText" w:hAnsi="RijksoverheidSansText" w:cs="RijksoverheidSansText"/>
      <w:b/>
      <w:bCs/>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yBook/02_Laufende_Projekte/Baltic%20LINes%20and%20NorthSEE/NorthSEE/Communication/Templates%20for%20word%20pptx%20etc/NorthSEE%20Identity/Templates/North%20SEE%20template%20(Calibri)%20(incl%20A4%20horizon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AB61-A425-0942-B691-A84F0EEC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North SEE template (Calibri) (incl A4 horizontal).dotx</Template>
  <TotalTime>0</TotalTime>
  <Pages>4</Pages>
  <Words>625</Words>
  <Characters>3944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2019-04-16T10:04:00Z</dcterms:created>
  <dcterms:modified xsi:type="dcterms:W3CDTF">2019-04-16T10:04:00Z</dcterms:modified>
</cp:coreProperties>
</file>