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832" w:rsidRDefault="004225D8" w:rsidP="00027832">
      <w:pPr>
        <w:tabs>
          <w:tab w:val="left" w:pos="2640"/>
        </w:tabs>
        <w:ind w:left="-709"/>
        <w:jc w:val="center"/>
        <w:rPr>
          <w:b/>
          <w:lang w:val="en-GB"/>
        </w:rPr>
      </w:pPr>
      <w:r w:rsidRPr="006F75E0">
        <w:rPr>
          <w:b/>
          <w:lang w:val="en-GB"/>
        </w:rPr>
        <w:t xml:space="preserve">Planning Criteria </w:t>
      </w:r>
      <w:r w:rsidR="00027832">
        <w:rPr>
          <w:b/>
          <w:lang w:val="en-GB"/>
        </w:rPr>
        <w:t>Environment</w:t>
      </w:r>
      <w:r w:rsidRPr="006F75E0">
        <w:rPr>
          <w:b/>
          <w:lang w:val="en-GB"/>
        </w:rPr>
        <w:t xml:space="preserve"> – Update 16</w:t>
      </w:r>
      <w:r w:rsidRPr="006F75E0">
        <w:rPr>
          <w:b/>
          <w:vertAlign w:val="superscript"/>
          <w:lang w:val="en-GB"/>
        </w:rPr>
        <w:t>th</w:t>
      </w:r>
      <w:r w:rsidRPr="006F75E0">
        <w:rPr>
          <w:b/>
          <w:lang w:val="en-GB"/>
        </w:rPr>
        <w:t xml:space="preserve"> of April 2019</w:t>
      </w:r>
    </w:p>
    <w:tbl>
      <w:tblPr>
        <w:tblStyle w:val="Tabellenraster"/>
        <w:tblW w:w="15843" w:type="dxa"/>
        <w:tblInd w:w="-1423" w:type="dxa"/>
        <w:tblLayout w:type="fixed"/>
        <w:tblLook w:val="04A0" w:firstRow="1" w:lastRow="0" w:firstColumn="1" w:lastColumn="0" w:noHBand="0" w:noVBand="1"/>
      </w:tblPr>
      <w:tblGrid>
        <w:gridCol w:w="2093"/>
        <w:gridCol w:w="1701"/>
        <w:gridCol w:w="1276"/>
        <w:gridCol w:w="2835"/>
        <w:gridCol w:w="1701"/>
        <w:gridCol w:w="2268"/>
        <w:gridCol w:w="1984"/>
        <w:gridCol w:w="1985"/>
      </w:tblGrid>
      <w:tr w:rsidR="00027832" w:rsidRPr="00551266" w:rsidTr="00027832">
        <w:tc>
          <w:tcPr>
            <w:tcW w:w="2093" w:type="dxa"/>
            <w:shd w:val="clear" w:color="auto" w:fill="D6E3BC" w:themeFill="accent3" w:themeFillTint="66"/>
          </w:tcPr>
          <w:p w:rsidR="00027832" w:rsidRPr="00551266" w:rsidRDefault="00027832" w:rsidP="00820E66">
            <w:pPr>
              <w:rPr>
                <w:sz w:val="18"/>
                <w:szCs w:val="18"/>
                <w:lang w:val="en-GB"/>
              </w:rPr>
            </w:pPr>
            <w:r w:rsidRPr="00551266">
              <w:rPr>
                <w:sz w:val="18"/>
                <w:szCs w:val="18"/>
                <w:lang w:val="en-GB"/>
              </w:rPr>
              <w:t>Environment</w:t>
            </w:r>
          </w:p>
        </w:tc>
        <w:tc>
          <w:tcPr>
            <w:tcW w:w="1701" w:type="dxa"/>
            <w:shd w:val="clear" w:color="auto" w:fill="D9D9D9" w:themeFill="background1" w:themeFillShade="D9"/>
          </w:tcPr>
          <w:p w:rsidR="00027832" w:rsidRPr="00551266" w:rsidRDefault="00027832" w:rsidP="00820E66">
            <w:pPr>
              <w:rPr>
                <w:sz w:val="18"/>
                <w:szCs w:val="18"/>
                <w:lang w:val="en-GB"/>
              </w:rPr>
            </w:pPr>
            <w:r w:rsidRPr="00551266">
              <w:rPr>
                <w:sz w:val="18"/>
                <w:szCs w:val="18"/>
                <w:lang w:val="en-GB"/>
              </w:rPr>
              <w:t>Belgium</w:t>
            </w:r>
          </w:p>
        </w:tc>
        <w:tc>
          <w:tcPr>
            <w:tcW w:w="1276" w:type="dxa"/>
            <w:shd w:val="clear" w:color="auto" w:fill="D9D9D9" w:themeFill="background1" w:themeFillShade="D9"/>
          </w:tcPr>
          <w:p w:rsidR="00027832" w:rsidRPr="00551266" w:rsidRDefault="00027832" w:rsidP="00820E66">
            <w:pPr>
              <w:rPr>
                <w:sz w:val="18"/>
                <w:szCs w:val="18"/>
                <w:lang w:val="en-GB"/>
              </w:rPr>
            </w:pPr>
            <w:r w:rsidRPr="00551266">
              <w:rPr>
                <w:sz w:val="18"/>
                <w:szCs w:val="18"/>
                <w:lang w:val="en-GB"/>
              </w:rPr>
              <w:t>Denmark</w:t>
            </w:r>
          </w:p>
        </w:tc>
        <w:tc>
          <w:tcPr>
            <w:tcW w:w="2835" w:type="dxa"/>
            <w:shd w:val="clear" w:color="auto" w:fill="D9D9D9" w:themeFill="background1" w:themeFillShade="D9"/>
          </w:tcPr>
          <w:p w:rsidR="00027832" w:rsidRPr="00551266" w:rsidRDefault="00027832" w:rsidP="00820E66">
            <w:pPr>
              <w:rPr>
                <w:sz w:val="18"/>
                <w:szCs w:val="18"/>
                <w:lang w:val="en-GB"/>
              </w:rPr>
            </w:pPr>
            <w:r w:rsidRPr="00551266">
              <w:rPr>
                <w:sz w:val="18"/>
                <w:szCs w:val="18"/>
                <w:lang w:val="en-GB"/>
              </w:rPr>
              <w:t>Germany</w:t>
            </w:r>
          </w:p>
        </w:tc>
        <w:tc>
          <w:tcPr>
            <w:tcW w:w="1701" w:type="dxa"/>
            <w:shd w:val="clear" w:color="auto" w:fill="D9D9D9" w:themeFill="background1" w:themeFillShade="D9"/>
          </w:tcPr>
          <w:p w:rsidR="00027832" w:rsidRPr="00551266" w:rsidRDefault="00027832" w:rsidP="00820E66">
            <w:pPr>
              <w:rPr>
                <w:sz w:val="18"/>
                <w:szCs w:val="18"/>
                <w:lang w:val="en-GB"/>
              </w:rPr>
            </w:pPr>
            <w:r w:rsidRPr="00551266">
              <w:rPr>
                <w:sz w:val="18"/>
                <w:szCs w:val="18"/>
                <w:lang w:val="en-GB"/>
              </w:rPr>
              <w:t>Netherlands</w:t>
            </w:r>
          </w:p>
        </w:tc>
        <w:tc>
          <w:tcPr>
            <w:tcW w:w="2268" w:type="dxa"/>
            <w:shd w:val="clear" w:color="auto" w:fill="D9D9D9" w:themeFill="background1" w:themeFillShade="D9"/>
          </w:tcPr>
          <w:p w:rsidR="00027832" w:rsidRPr="00551266" w:rsidRDefault="00027832" w:rsidP="00820E66">
            <w:pPr>
              <w:rPr>
                <w:sz w:val="18"/>
                <w:szCs w:val="18"/>
                <w:lang w:val="en-GB"/>
              </w:rPr>
            </w:pPr>
            <w:r w:rsidRPr="00551266">
              <w:rPr>
                <w:sz w:val="18"/>
                <w:szCs w:val="18"/>
                <w:lang w:val="en-GB"/>
              </w:rPr>
              <w:t>Norway</w:t>
            </w:r>
          </w:p>
        </w:tc>
        <w:tc>
          <w:tcPr>
            <w:tcW w:w="1984" w:type="dxa"/>
            <w:shd w:val="clear" w:color="auto" w:fill="D9D9D9" w:themeFill="background1" w:themeFillShade="D9"/>
          </w:tcPr>
          <w:p w:rsidR="00027832" w:rsidRPr="00551266" w:rsidRDefault="00027832" w:rsidP="00820E66">
            <w:pPr>
              <w:rPr>
                <w:sz w:val="18"/>
                <w:szCs w:val="18"/>
                <w:lang w:val="en-GB"/>
              </w:rPr>
            </w:pPr>
            <w:r w:rsidRPr="00551266">
              <w:rPr>
                <w:sz w:val="18"/>
                <w:szCs w:val="18"/>
                <w:lang w:val="en-GB"/>
              </w:rPr>
              <w:t>Scotland</w:t>
            </w:r>
          </w:p>
        </w:tc>
        <w:tc>
          <w:tcPr>
            <w:tcW w:w="1985" w:type="dxa"/>
            <w:shd w:val="clear" w:color="auto" w:fill="D9D9D9" w:themeFill="background1" w:themeFillShade="D9"/>
          </w:tcPr>
          <w:p w:rsidR="00027832" w:rsidRPr="00551266" w:rsidRDefault="00027832" w:rsidP="00820E66">
            <w:pPr>
              <w:rPr>
                <w:sz w:val="18"/>
                <w:szCs w:val="18"/>
                <w:lang w:val="en-GB"/>
              </w:rPr>
            </w:pPr>
            <w:r w:rsidRPr="00551266">
              <w:rPr>
                <w:sz w:val="18"/>
                <w:szCs w:val="18"/>
                <w:lang w:val="en-GB"/>
              </w:rPr>
              <w:t>Sweden</w:t>
            </w:r>
          </w:p>
        </w:tc>
      </w:tr>
      <w:tr w:rsidR="00027832" w:rsidRPr="00551266" w:rsidTr="00027832">
        <w:tc>
          <w:tcPr>
            <w:tcW w:w="2093" w:type="dxa"/>
            <w:shd w:val="clear" w:color="auto" w:fill="D6E3BC" w:themeFill="accent3" w:themeFillTint="66"/>
          </w:tcPr>
          <w:p w:rsidR="00027832" w:rsidRPr="00551266" w:rsidRDefault="00027832" w:rsidP="00820E66">
            <w:pPr>
              <w:rPr>
                <w:sz w:val="18"/>
                <w:szCs w:val="18"/>
                <w:lang w:val="en-GB"/>
              </w:rPr>
            </w:pPr>
            <w:r w:rsidRPr="00551266">
              <w:rPr>
                <w:sz w:val="18"/>
                <w:szCs w:val="18"/>
                <w:lang w:val="en-GB"/>
              </w:rPr>
              <w:t>Consideration of MPAs and other ecologically valuable areas in planning process</w:t>
            </w:r>
          </w:p>
        </w:tc>
        <w:tc>
          <w:tcPr>
            <w:tcW w:w="1701" w:type="dxa"/>
          </w:tcPr>
          <w:p w:rsidR="00027832" w:rsidRPr="00551266" w:rsidRDefault="00027832" w:rsidP="00820E66">
            <w:pPr>
              <w:rPr>
                <w:sz w:val="18"/>
                <w:szCs w:val="18"/>
                <w:lang w:val="en-GB"/>
              </w:rPr>
            </w:pPr>
            <w:r w:rsidRPr="00551266">
              <w:rPr>
                <w:sz w:val="18"/>
                <w:szCs w:val="18"/>
                <w:lang w:val="en-GB"/>
              </w:rPr>
              <w:t>Most of the MPAs are part of the existing part</w:t>
            </w:r>
          </w:p>
          <w:p w:rsidR="00027832" w:rsidRPr="00551266" w:rsidRDefault="00027832" w:rsidP="00820E66">
            <w:pPr>
              <w:rPr>
                <w:sz w:val="18"/>
                <w:szCs w:val="18"/>
              </w:rPr>
            </w:pPr>
            <w:r w:rsidRPr="00551266">
              <w:rPr>
                <w:sz w:val="18"/>
                <w:szCs w:val="18"/>
              </w:rPr>
              <w:t>(Special Area for Conservation, Special Protection Area, National nature reserve, Special zone for seabed integrity</w:t>
            </w:r>
          </w:p>
        </w:tc>
        <w:tc>
          <w:tcPr>
            <w:tcW w:w="1276" w:type="dxa"/>
          </w:tcPr>
          <w:p w:rsidR="00027832" w:rsidRPr="00551266" w:rsidRDefault="00027832" w:rsidP="00820E66">
            <w:pPr>
              <w:rPr>
                <w:sz w:val="18"/>
                <w:szCs w:val="18"/>
                <w:lang w:val="en-GB"/>
              </w:rPr>
            </w:pPr>
            <w:r w:rsidRPr="00551266">
              <w:rPr>
                <w:sz w:val="18"/>
                <w:szCs w:val="18"/>
                <w:lang w:val="en-GB"/>
              </w:rPr>
              <w:t>No current MSP plan</w:t>
            </w:r>
          </w:p>
        </w:tc>
        <w:tc>
          <w:tcPr>
            <w:tcW w:w="2835" w:type="dxa"/>
          </w:tcPr>
          <w:p w:rsidR="00027832" w:rsidRPr="00551266" w:rsidRDefault="00027832" w:rsidP="00820E66">
            <w:pPr>
              <w:rPr>
                <w:sz w:val="18"/>
                <w:szCs w:val="18"/>
                <w:lang w:val="en-GB"/>
              </w:rPr>
            </w:pPr>
            <w:r w:rsidRPr="00551266">
              <w:rPr>
                <w:sz w:val="18"/>
                <w:szCs w:val="18"/>
                <w:lang w:val="en-GB"/>
              </w:rPr>
              <w:t>The needs of the marine environment are protected by provisions for marine</w:t>
            </w:r>
          </w:p>
          <w:p w:rsidR="00027832" w:rsidRPr="00551266" w:rsidRDefault="00027832" w:rsidP="00820E66">
            <w:pPr>
              <w:rPr>
                <w:sz w:val="18"/>
                <w:szCs w:val="18"/>
                <w:lang w:val="en-GB"/>
              </w:rPr>
            </w:pPr>
            <w:r w:rsidRPr="00551266">
              <w:rPr>
                <w:sz w:val="18"/>
                <w:szCs w:val="18"/>
                <w:lang w:val="en-GB"/>
              </w:rPr>
              <w:t>environmental protection included in the regulations applying to the individual uses</w:t>
            </w:r>
            <w:r>
              <w:rPr>
                <w:sz w:val="18"/>
                <w:szCs w:val="18"/>
                <w:lang w:val="en-GB"/>
              </w:rPr>
              <w:t xml:space="preserve"> (e.g. exclusion of offshore wind farms in Natura2000 areas)</w:t>
            </w:r>
            <w:r w:rsidRPr="00551266">
              <w:rPr>
                <w:sz w:val="18"/>
                <w:szCs w:val="18"/>
                <w:lang w:val="en-GB"/>
              </w:rPr>
              <w:t xml:space="preserve"> and b</w:t>
            </w:r>
            <w:r>
              <w:rPr>
                <w:sz w:val="18"/>
                <w:szCs w:val="18"/>
                <w:lang w:val="en-GB"/>
              </w:rPr>
              <w:t xml:space="preserve">y </w:t>
            </w:r>
            <w:r w:rsidRPr="00551266">
              <w:rPr>
                <w:sz w:val="18"/>
                <w:szCs w:val="18"/>
                <w:lang w:val="en-GB"/>
              </w:rPr>
              <w:t>dedicated regulations for the protection of the marine environment</w:t>
            </w:r>
          </w:p>
        </w:tc>
        <w:tc>
          <w:tcPr>
            <w:tcW w:w="1701" w:type="dxa"/>
          </w:tcPr>
          <w:p w:rsidR="00027832" w:rsidRPr="00551266" w:rsidRDefault="00027832" w:rsidP="00820E66">
            <w:pPr>
              <w:rPr>
                <w:sz w:val="18"/>
                <w:szCs w:val="18"/>
                <w:lang w:val="en-GB"/>
              </w:rPr>
            </w:pPr>
            <w:r w:rsidRPr="00551266">
              <w:rPr>
                <w:sz w:val="18"/>
                <w:szCs w:val="18"/>
                <w:lang w:val="en-GB"/>
              </w:rPr>
              <w:t>Designated Natura 2000 are part of the current MSP plan</w:t>
            </w:r>
          </w:p>
        </w:tc>
        <w:tc>
          <w:tcPr>
            <w:tcW w:w="2268" w:type="dxa"/>
          </w:tcPr>
          <w:p w:rsidR="00027832" w:rsidRPr="00551266" w:rsidRDefault="00027832" w:rsidP="00820E66">
            <w:pPr>
              <w:rPr>
                <w:sz w:val="18"/>
                <w:szCs w:val="18"/>
                <w:lang w:val="en-GB"/>
              </w:rPr>
            </w:pPr>
            <w:r w:rsidRPr="00551266">
              <w:rPr>
                <w:sz w:val="18"/>
                <w:szCs w:val="18"/>
                <w:lang w:val="en-GB"/>
              </w:rPr>
              <w:t xml:space="preserve">Environmental value of Norwegian sea areas </w:t>
            </w:r>
            <w:proofErr w:type="gramStart"/>
            <w:r w:rsidRPr="00551266">
              <w:rPr>
                <w:sz w:val="18"/>
                <w:szCs w:val="18"/>
                <w:lang w:val="en-GB"/>
              </w:rPr>
              <w:t>are</w:t>
            </w:r>
            <w:proofErr w:type="gramEnd"/>
            <w:r w:rsidRPr="00551266">
              <w:rPr>
                <w:sz w:val="18"/>
                <w:szCs w:val="18"/>
                <w:lang w:val="en-GB"/>
              </w:rPr>
              <w:t xml:space="preserve"> part of existing MSP plan</w:t>
            </w:r>
          </w:p>
        </w:tc>
        <w:tc>
          <w:tcPr>
            <w:tcW w:w="1984" w:type="dxa"/>
          </w:tcPr>
          <w:p w:rsidR="00027832" w:rsidRPr="00551266" w:rsidRDefault="00027832" w:rsidP="00820E66">
            <w:pPr>
              <w:rPr>
                <w:sz w:val="18"/>
                <w:szCs w:val="18"/>
                <w:lang w:val="en-GB"/>
              </w:rPr>
            </w:pPr>
            <w:r w:rsidRPr="00551266">
              <w:rPr>
                <w:sz w:val="18"/>
                <w:szCs w:val="18"/>
                <w:lang w:val="en-GB"/>
              </w:rPr>
              <w:t>31 Nature conservation MPAs (17 territorial, 13 EEZ) and 8 historic MPAs are part of the national marine plan</w:t>
            </w:r>
          </w:p>
        </w:tc>
        <w:tc>
          <w:tcPr>
            <w:tcW w:w="1985" w:type="dxa"/>
          </w:tcPr>
          <w:p w:rsidR="00027832" w:rsidRPr="00551266" w:rsidRDefault="00027832" w:rsidP="00820E66">
            <w:pPr>
              <w:rPr>
                <w:sz w:val="18"/>
                <w:szCs w:val="18"/>
                <w:lang w:val="en-GB"/>
              </w:rPr>
            </w:pPr>
            <w:r w:rsidRPr="00551266">
              <w:rPr>
                <w:sz w:val="18"/>
                <w:szCs w:val="18"/>
                <w:lang w:val="en-GB"/>
              </w:rPr>
              <w:t xml:space="preserve">Natura 2000, (planned) MPAs and areas of national interest for nature values in MSP plan </w:t>
            </w:r>
          </w:p>
        </w:tc>
      </w:tr>
      <w:tr w:rsidR="00027832" w:rsidRPr="00551266" w:rsidTr="00027832">
        <w:tc>
          <w:tcPr>
            <w:tcW w:w="2093" w:type="dxa"/>
            <w:shd w:val="clear" w:color="auto" w:fill="D6E3BC" w:themeFill="accent3" w:themeFillTint="66"/>
          </w:tcPr>
          <w:p w:rsidR="00027832" w:rsidRPr="00551266" w:rsidRDefault="00027832" w:rsidP="00820E66">
            <w:pPr>
              <w:rPr>
                <w:sz w:val="18"/>
                <w:szCs w:val="18"/>
                <w:lang w:val="en-GB"/>
              </w:rPr>
            </w:pPr>
            <w:r w:rsidRPr="00551266">
              <w:rPr>
                <w:sz w:val="18"/>
                <w:szCs w:val="18"/>
                <w:lang w:val="en-GB"/>
              </w:rPr>
              <w:t>Role of your MSP authority in designating MPAs and other ecologically valuable areas</w:t>
            </w:r>
          </w:p>
        </w:tc>
        <w:tc>
          <w:tcPr>
            <w:tcW w:w="1701" w:type="dxa"/>
          </w:tcPr>
          <w:p w:rsidR="00027832" w:rsidRPr="00551266" w:rsidRDefault="00027832" w:rsidP="00820E66">
            <w:pPr>
              <w:rPr>
                <w:sz w:val="18"/>
                <w:szCs w:val="18"/>
                <w:lang w:val="en-GB"/>
              </w:rPr>
            </w:pPr>
          </w:p>
        </w:tc>
        <w:tc>
          <w:tcPr>
            <w:tcW w:w="1276" w:type="dxa"/>
          </w:tcPr>
          <w:p w:rsidR="00027832" w:rsidRPr="00551266" w:rsidRDefault="00027832" w:rsidP="00820E66">
            <w:pPr>
              <w:rPr>
                <w:sz w:val="18"/>
                <w:szCs w:val="18"/>
                <w:lang w:val="en-GB"/>
              </w:rPr>
            </w:pPr>
          </w:p>
        </w:tc>
        <w:tc>
          <w:tcPr>
            <w:tcW w:w="2835" w:type="dxa"/>
          </w:tcPr>
          <w:p w:rsidR="00027832" w:rsidRPr="00551266" w:rsidRDefault="00027832" w:rsidP="00820E66">
            <w:pPr>
              <w:rPr>
                <w:sz w:val="18"/>
                <w:szCs w:val="18"/>
                <w:lang w:val="en-GB"/>
              </w:rPr>
            </w:pPr>
            <w:r w:rsidRPr="00551266">
              <w:rPr>
                <w:sz w:val="18"/>
                <w:szCs w:val="18"/>
                <w:lang w:val="en-GB"/>
              </w:rPr>
              <w:t>BSH as maritime planning authorit</w:t>
            </w:r>
            <w:r>
              <w:rPr>
                <w:sz w:val="18"/>
                <w:szCs w:val="18"/>
                <w:lang w:val="en-GB"/>
              </w:rPr>
              <w:t xml:space="preserve">y does not designate MPAs, the </w:t>
            </w:r>
            <w:r w:rsidRPr="003B0F6B">
              <w:rPr>
                <w:sz w:val="18"/>
                <w:szCs w:val="18"/>
                <w:lang w:val="en-GB"/>
              </w:rPr>
              <w:t>Federal Ministry for Environment, Nature Conservation and Nuclear Safet</w:t>
            </w:r>
            <w:r>
              <w:rPr>
                <w:sz w:val="18"/>
                <w:szCs w:val="18"/>
                <w:lang w:val="en-GB"/>
              </w:rPr>
              <w:t>y (for EEZ) and the respective ministries at state level (for TS) are responsible for designating MPAs.</w:t>
            </w:r>
          </w:p>
        </w:tc>
        <w:tc>
          <w:tcPr>
            <w:tcW w:w="1701" w:type="dxa"/>
          </w:tcPr>
          <w:p w:rsidR="00027832" w:rsidRPr="00551266" w:rsidRDefault="00027832" w:rsidP="00820E66">
            <w:pPr>
              <w:rPr>
                <w:sz w:val="18"/>
                <w:szCs w:val="18"/>
                <w:lang w:val="en-GB"/>
              </w:rPr>
            </w:pPr>
            <w:r w:rsidRPr="00551266">
              <w:rPr>
                <w:sz w:val="18"/>
                <w:szCs w:val="18"/>
                <w:lang w:val="en-GB"/>
              </w:rPr>
              <w:t xml:space="preserve">The Ministry of Agriculture Nature and Food Quality is responsible for designating MPAs.  </w:t>
            </w:r>
          </w:p>
        </w:tc>
        <w:tc>
          <w:tcPr>
            <w:tcW w:w="2268" w:type="dxa"/>
          </w:tcPr>
          <w:p w:rsidR="00027832" w:rsidRPr="00551266" w:rsidRDefault="00027832" w:rsidP="00820E66">
            <w:pPr>
              <w:rPr>
                <w:sz w:val="18"/>
                <w:szCs w:val="18"/>
                <w:lang w:val="en-GB"/>
              </w:rPr>
            </w:pPr>
            <w:r w:rsidRPr="00551266">
              <w:rPr>
                <w:sz w:val="18"/>
                <w:szCs w:val="18"/>
                <w:lang w:val="en-GB"/>
              </w:rPr>
              <w:t xml:space="preserve">Norway does not have </w:t>
            </w:r>
            <w:proofErr w:type="gramStart"/>
            <w:r w:rsidRPr="00551266">
              <w:rPr>
                <w:sz w:val="18"/>
                <w:szCs w:val="18"/>
                <w:lang w:val="en-GB"/>
              </w:rPr>
              <w:t>a</w:t>
            </w:r>
            <w:proofErr w:type="gramEnd"/>
            <w:r w:rsidRPr="00551266">
              <w:rPr>
                <w:sz w:val="18"/>
                <w:szCs w:val="18"/>
                <w:lang w:val="en-GB"/>
              </w:rPr>
              <w:t xml:space="preserve"> MSP authority as the work is round-table. The management group identifies ecologically valuable areas, based on scientific advice.  </w:t>
            </w:r>
          </w:p>
        </w:tc>
        <w:tc>
          <w:tcPr>
            <w:tcW w:w="1984" w:type="dxa"/>
          </w:tcPr>
          <w:p w:rsidR="00027832" w:rsidRPr="00551266" w:rsidRDefault="00027832" w:rsidP="00820E66">
            <w:pPr>
              <w:rPr>
                <w:sz w:val="18"/>
                <w:szCs w:val="18"/>
                <w:lang w:val="en-GB"/>
              </w:rPr>
            </w:pPr>
            <w:r w:rsidRPr="00551266">
              <w:rPr>
                <w:sz w:val="18"/>
                <w:szCs w:val="18"/>
                <w:lang w:val="en-GB"/>
              </w:rPr>
              <w:t xml:space="preserve">Marine Scotland under The Marine (Scotland) Act 2010 designates MPAs out to 12nm, and the Marine and Coastal Access Act 2009 provides powers to designated out to the rest of Scottish waters. </w:t>
            </w:r>
          </w:p>
        </w:tc>
        <w:tc>
          <w:tcPr>
            <w:tcW w:w="1985" w:type="dxa"/>
          </w:tcPr>
          <w:p w:rsidR="00027832" w:rsidRPr="00551266" w:rsidRDefault="00027832" w:rsidP="00820E66">
            <w:pPr>
              <w:rPr>
                <w:sz w:val="18"/>
                <w:szCs w:val="18"/>
                <w:lang w:val="en-GB"/>
              </w:rPr>
            </w:pPr>
          </w:p>
        </w:tc>
      </w:tr>
      <w:tr w:rsidR="00027832" w:rsidRPr="00551266" w:rsidTr="00027832">
        <w:tc>
          <w:tcPr>
            <w:tcW w:w="2093" w:type="dxa"/>
            <w:shd w:val="clear" w:color="auto" w:fill="D6E3BC" w:themeFill="accent3" w:themeFillTint="66"/>
          </w:tcPr>
          <w:p w:rsidR="00027832" w:rsidRPr="00551266" w:rsidRDefault="00027832" w:rsidP="00820E66">
            <w:pPr>
              <w:rPr>
                <w:sz w:val="18"/>
                <w:szCs w:val="18"/>
                <w:lang w:val="en-GB"/>
              </w:rPr>
            </w:pPr>
            <w:r w:rsidRPr="00551266">
              <w:rPr>
                <w:sz w:val="18"/>
                <w:szCs w:val="18"/>
                <w:lang w:val="en-GB"/>
              </w:rPr>
              <w:t>Existing MPAs and other ecologically valuable areas in MSP</w:t>
            </w:r>
          </w:p>
        </w:tc>
        <w:tc>
          <w:tcPr>
            <w:tcW w:w="1701" w:type="dxa"/>
          </w:tcPr>
          <w:p w:rsidR="00027832" w:rsidRPr="00551266" w:rsidRDefault="00027832" w:rsidP="00820E66">
            <w:pPr>
              <w:rPr>
                <w:sz w:val="18"/>
                <w:szCs w:val="18"/>
                <w:lang w:val="en-GB"/>
              </w:rPr>
            </w:pPr>
            <w:r w:rsidRPr="00551266">
              <w:rPr>
                <w:sz w:val="18"/>
                <w:szCs w:val="18"/>
                <w:lang w:val="en-GB"/>
              </w:rPr>
              <w:t>- Nature reserve</w:t>
            </w:r>
          </w:p>
          <w:p w:rsidR="00027832" w:rsidRPr="00551266" w:rsidRDefault="00027832" w:rsidP="00820E66">
            <w:pPr>
              <w:rPr>
                <w:sz w:val="18"/>
                <w:szCs w:val="18"/>
                <w:lang w:val="en-GB"/>
              </w:rPr>
            </w:pPr>
            <w:r w:rsidRPr="00551266">
              <w:rPr>
                <w:sz w:val="18"/>
                <w:szCs w:val="18"/>
                <w:lang w:val="en-GB"/>
              </w:rPr>
              <w:t>- Natura 2000</w:t>
            </w:r>
          </w:p>
          <w:p w:rsidR="00027832" w:rsidRPr="00551266" w:rsidRDefault="00027832" w:rsidP="00820E66">
            <w:pPr>
              <w:rPr>
                <w:sz w:val="18"/>
                <w:szCs w:val="18"/>
                <w:lang w:val="en-GB"/>
              </w:rPr>
            </w:pPr>
            <w:r w:rsidRPr="00551266">
              <w:rPr>
                <w:sz w:val="18"/>
                <w:szCs w:val="18"/>
                <w:lang w:val="en-GB"/>
              </w:rPr>
              <w:t>- Fishing limitation zones</w:t>
            </w:r>
          </w:p>
          <w:p w:rsidR="00027832" w:rsidRPr="00551266" w:rsidRDefault="00027832" w:rsidP="00820E66">
            <w:pPr>
              <w:rPr>
                <w:sz w:val="18"/>
                <w:szCs w:val="18"/>
                <w:lang w:val="en-GB"/>
              </w:rPr>
            </w:pPr>
            <w:r w:rsidRPr="00551266">
              <w:rPr>
                <w:sz w:val="18"/>
                <w:szCs w:val="18"/>
                <w:lang w:val="en-GB"/>
              </w:rPr>
              <w:t>- Ramsar</w:t>
            </w:r>
          </w:p>
        </w:tc>
        <w:tc>
          <w:tcPr>
            <w:tcW w:w="1276" w:type="dxa"/>
          </w:tcPr>
          <w:p w:rsidR="00027832" w:rsidRPr="00551266" w:rsidRDefault="00027832" w:rsidP="00820E66">
            <w:pPr>
              <w:rPr>
                <w:sz w:val="18"/>
                <w:szCs w:val="18"/>
                <w:lang w:val="en-GB"/>
              </w:rPr>
            </w:pPr>
            <w:r w:rsidRPr="00551266">
              <w:rPr>
                <w:sz w:val="18"/>
                <w:szCs w:val="18"/>
                <w:lang w:val="en-GB"/>
              </w:rPr>
              <w:t>(- Natura 2000</w:t>
            </w:r>
          </w:p>
          <w:p w:rsidR="00027832" w:rsidRPr="00551266" w:rsidRDefault="00027832" w:rsidP="00820E66">
            <w:pPr>
              <w:rPr>
                <w:rFonts w:cs="ArialMT"/>
                <w:sz w:val="18"/>
                <w:szCs w:val="18"/>
                <w:lang w:eastAsia="de-DE"/>
              </w:rPr>
            </w:pPr>
            <w:r w:rsidRPr="00551266">
              <w:rPr>
                <w:sz w:val="18"/>
                <w:szCs w:val="18"/>
                <w:lang w:val="en-GB"/>
              </w:rPr>
              <w:t xml:space="preserve">- </w:t>
            </w:r>
            <w:r w:rsidRPr="00551266">
              <w:rPr>
                <w:rFonts w:cs="ArialMT"/>
                <w:sz w:val="18"/>
                <w:szCs w:val="18"/>
                <w:lang w:eastAsia="de-DE"/>
              </w:rPr>
              <w:t>§3 Protected nature types</w:t>
            </w:r>
          </w:p>
          <w:p w:rsidR="00027832" w:rsidRPr="00551266" w:rsidRDefault="00027832" w:rsidP="00820E66">
            <w:pPr>
              <w:rPr>
                <w:rFonts w:cs="ArialMT"/>
                <w:sz w:val="18"/>
                <w:szCs w:val="18"/>
                <w:lang w:eastAsia="de-DE"/>
              </w:rPr>
            </w:pPr>
            <w:r w:rsidRPr="00551266">
              <w:rPr>
                <w:rFonts w:cs="SymbolMT"/>
                <w:sz w:val="18"/>
                <w:szCs w:val="18"/>
                <w:lang w:eastAsia="de-DE"/>
              </w:rPr>
              <w:t xml:space="preserve">- </w:t>
            </w:r>
            <w:r w:rsidRPr="00551266">
              <w:rPr>
                <w:rFonts w:cs="ArialMT"/>
                <w:sz w:val="18"/>
                <w:szCs w:val="18"/>
                <w:lang w:eastAsia="de-DE"/>
              </w:rPr>
              <w:t>National parks)</w:t>
            </w:r>
          </w:p>
          <w:p w:rsidR="00027832" w:rsidRPr="00551266" w:rsidRDefault="00027832" w:rsidP="00820E66">
            <w:pPr>
              <w:rPr>
                <w:rFonts w:cs="ArialMT"/>
                <w:sz w:val="18"/>
                <w:szCs w:val="18"/>
                <w:lang w:eastAsia="de-DE"/>
              </w:rPr>
            </w:pPr>
          </w:p>
          <w:p w:rsidR="00027832" w:rsidRPr="00551266" w:rsidRDefault="00027832" w:rsidP="00820E66">
            <w:pPr>
              <w:rPr>
                <w:sz w:val="18"/>
                <w:szCs w:val="18"/>
                <w:lang w:val="en-GB"/>
              </w:rPr>
            </w:pPr>
          </w:p>
        </w:tc>
        <w:tc>
          <w:tcPr>
            <w:tcW w:w="2835" w:type="dxa"/>
          </w:tcPr>
          <w:p w:rsidR="00027832" w:rsidRDefault="00027832" w:rsidP="00820E66">
            <w:pPr>
              <w:rPr>
                <w:rFonts w:cs="ArialMT"/>
                <w:sz w:val="18"/>
                <w:szCs w:val="18"/>
                <w:lang w:eastAsia="de-DE"/>
              </w:rPr>
            </w:pPr>
            <w:r w:rsidRPr="00551266">
              <w:rPr>
                <w:rFonts w:cs="ArialMT"/>
                <w:sz w:val="18"/>
                <w:szCs w:val="18"/>
                <w:lang w:eastAsia="de-DE"/>
              </w:rPr>
              <w:lastRenderedPageBreak/>
              <w:t xml:space="preserve">- </w:t>
            </w:r>
            <w:r>
              <w:rPr>
                <w:rFonts w:cs="ArialMT"/>
                <w:sz w:val="18"/>
                <w:szCs w:val="18"/>
                <w:lang w:eastAsia="de-DE"/>
              </w:rPr>
              <w:t>UNESCO World Heritage site</w:t>
            </w:r>
          </w:p>
          <w:p w:rsidR="00027832" w:rsidRPr="00551266" w:rsidRDefault="00027832" w:rsidP="00820E66">
            <w:pPr>
              <w:rPr>
                <w:rFonts w:cs="ArialMT"/>
                <w:sz w:val="18"/>
                <w:szCs w:val="18"/>
                <w:lang w:eastAsia="de-DE"/>
              </w:rPr>
            </w:pPr>
            <w:r>
              <w:rPr>
                <w:rFonts w:cs="ArialMT"/>
                <w:sz w:val="18"/>
                <w:szCs w:val="18"/>
                <w:lang w:eastAsia="de-DE"/>
              </w:rPr>
              <w:t xml:space="preserve">- </w:t>
            </w:r>
            <w:r w:rsidRPr="00551266">
              <w:rPr>
                <w:rFonts w:cs="ArialMT"/>
                <w:sz w:val="18"/>
                <w:szCs w:val="18"/>
                <w:lang w:eastAsia="de-DE"/>
              </w:rPr>
              <w:t>Nationalpark (TS)</w:t>
            </w:r>
          </w:p>
          <w:p w:rsidR="00027832" w:rsidRPr="00551266" w:rsidRDefault="00027832" w:rsidP="00820E66">
            <w:pPr>
              <w:rPr>
                <w:rFonts w:cs="ArialMT"/>
                <w:sz w:val="18"/>
                <w:szCs w:val="18"/>
                <w:lang w:eastAsia="de-DE"/>
              </w:rPr>
            </w:pPr>
            <w:r w:rsidRPr="00551266">
              <w:rPr>
                <w:rFonts w:cs="ArialMT"/>
                <w:sz w:val="18"/>
                <w:szCs w:val="18"/>
                <w:lang w:eastAsia="de-DE"/>
              </w:rPr>
              <w:t xml:space="preserve">- </w:t>
            </w:r>
            <w:r>
              <w:rPr>
                <w:rFonts w:cs="ArialMT"/>
                <w:sz w:val="18"/>
                <w:szCs w:val="18"/>
                <w:lang w:eastAsia="de-DE"/>
              </w:rPr>
              <w:t>RAMSAR</w:t>
            </w:r>
            <w:r w:rsidRPr="00551266">
              <w:rPr>
                <w:rFonts w:cs="ArialMT"/>
                <w:sz w:val="18"/>
                <w:szCs w:val="18"/>
                <w:lang w:eastAsia="de-DE"/>
              </w:rPr>
              <w:t xml:space="preserve"> wetland (TS)</w:t>
            </w:r>
          </w:p>
          <w:p w:rsidR="00027832" w:rsidRPr="00551266" w:rsidRDefault="00027832" w:rsidP="00820E66">
            <w:pPr>
              <w:rPr>
                <w:rFonts w:cs="ArialMT"/>
                <w:sz w:val="18"/>
                <w:szCs w:val="18"/>
                <w:lang w:eastAsia="de-DE"/>
              </w:rPr>
            </w:pPr>
            <w:r w:rsidRPr="00551266">
              <w:rPr>
                <w:rFonts w:cs="ArialMT"/>
                <w:sz w:val="18"/>
                <w:szCs w:val="18"/>
                <w:lang w:eastAsia="de-DE"/>
              </w:rPr>
              <w:t>- Natura 2000 sites (SCI and SPA) (EEZ)</w:t>
            </w:r>
          </w:p>
          <w:p w:rsidR="00027832" w:rsidRPr="00551266" w:rsidRDefault="00027832" w:rsidP="00820E66">
            <w:pPr>
              <w:rPr>
                <w:rFonts w:cs="ArialMT"/>
                <w:sz w:val="18"/>
                <w:szCs w:val="18"/>
                <w:lang w:eastAsia="de-DE"/>
              </w:rPr>
            </w:pPr>
            <w:r w:rsidRPr="00551266">
              <w:rPr>
                <w:rFonts w:cs="ArialMT"/>
                <w:sz w:val="18"/>
                <w:szCs w:val="18"/>
                <w:lang w:eastAsia="de-DE"/>
              </w:rPr>
              <w:lastRenderedPageBreak/>
              <w:t>- Natura 2000 sites (SCI and SPA) (TS)</w:t>
            </w:r>
          </w:p>
          <w:p w:rsidR="00027832" w:rsidRPr="00EA6E36" w:rsidRDefault="00027832" w:rsidP="00820E66">
            <w:pPr>
              <w:rPr>
                <w:rFonts w:cs="ArialMT"/>
                <w:sz w:val="18"/>
                <w:szCs w:val="18"/>
                <w:lang w:val="de-DE" w:eastAsia="de-DE"/>
              </w:rPr>
            </w:pPr>
            <w:r w:rsidRPr="00EA6E36">
              <w:rPr>
                <w:rFonts w:cs="ArialMT"/>
                <w:sz w:val="18"/>
                <w:szCs w:val="18"/>
                <w:lang w:val="de-DE" w:eastAsia="de-DE"/>
              </w:rPr>
              <w:t>- Nature conservation areas (Naturschutzgebiete, NSG) (EEZ)</w:t>
            </w:r>
          </w:p>
          <w:p w:rsidR="00027832" w:rsidRPr="00346596" w:rsidRDefault="00027832" w:rsidP="00820E66">
            <w:pPr>
              <w:rPr>
                <w:sz w:val="18"/>
                <w:szCs w:val="18"/>
                <w:lang w:val="en-GB"/>
              </w:rPr>
            </w:pPr>
            <w:r w:rsidRPr="00551266">
              <w:rPr>
                <w:rFonts w:cs="ArialMT"/>
                <w:sz w:val="18"/>
                <w:szCs w:val="18"/>
                <w:lang w:eastAsia="de-DE"/>
              </w:rPr>
              <w:t xml:space="preserve">- Nature conservation </w:t>
            </w:r>
            <w:proofErr w:type="gramStart"/>
            <w:r w:rsidRPr="00551266">
              <w:rPr>
                <w:rFonts w:cs="ArialMT"/>
                <w:sz w:val="18"/>
                <w:szCs w:val="18"/>
                <w:lang w:eastAsia="de-DE"/>
              </w:rPr>
              <w:t>areas(</w:t>
            </w:r>
            <w:proofErr w:type="gramEnd"/>
            <w:r w:rsidRPr="00551266">
              <w:rPr>
                <w:rFonts w:cs="ArialMT"/>
                <w:sz w:val="18"/>
                <w:szCs w:val="18"/>
                <w:lang w:eastAsia="de-DE"/>
              </w:rPr>
              <w:t>Naturschutzgebiete</w:t>
            </w:r>
            <w:r>
              <w:rPr>
                <w:rFonts w:cs="ArialMT"/>
                <w:sz w:val="18"/>
                <w:szCs w:val="18"/>
                <w:lang w:eastAsia="de-DE"/>
              </w:rPr>
              <w:t>, NSG</w:t>
            </w:r>
            <w:r w:rsidRPr="00551266">
              <w:rPr>
                <w:rFonts w:cs="ArialMT"/>
                <w:sz w:val="18"/>
                <w:szCs w:val="18"/>
                <w:lang w:eastAsia="de-DE"/>
              </w:rPr>
              <w:t>) (TS)</w:t>
            </w:r>
          </w:p>
        </w:tc>
        <w:tc>
          <w:tcPr>
            <w:tcW w:w="1701" w:type="dxa"/>
          </w:tcPr>
          <w:p w:rsidR="00027832" w:rsidRPr="00551266" w:rsidRDefault="00027832" w:rsidP="00820E66">
            <w:pPr>
              <w:rPr>
                <w:sz w:val="18"/>
                <w:szCs w:val="18"/>
                <w:lang w:val="en-GB"/>
              </w:rPr>
            </w:pPr>
            <w:r w:rsidRPr="00551266">
              <w:rPr>
                <w:sz w:val="18"/>
                <w:szCs w:val="18"/>
                <w:lang w:val="en-GB"/>
              </w:rPr>
              <w:lastRenderedPageBreak/>
              <w:t>- Natura 2000 (SAC &amp; SPA)</w:t>
            </w:r>
          </w:p>
          <w:p w:rsidR="00027832" w:rsidRPr="00551266" w:rsidRDefault="00027832" w:rsidP="00820E66">
            <w:pPr>
              <w:rPr>
                <w:sz w:val="18"/>
                <w:szCs w:val="18"/>
                <w:lang w:val="en-GB"/>
              </w:rPr>
            </w:pPr>
            <w:r w:rsidRPr="00551266">
              <w:rPr>
                <w:sz w:val="18"/>
                <w:szCs w:val="18"/>
                <w:lang w:val="en-GB"/>
              </w:rPr>
              <w:t>- Ramsar</w:t>
            </w:r>
          </w:p>
          <w:p w:rsidR="00027832" w:rsidRPr="00551266" w:rsidRDefault="00027832" w:rsidP="00820E66">
            <w:pPr>
              <w:rPr>
                <w:sz w:val="18"/>
                <w:szCs w:val="18"/>
                <w:lang w:val="en-GB"/>
              </w:rPr>
            </w:pPr>
            <w:r w:rsidRPr="00551266">
              <w:rPr>
                <w:sz w:val="18"/>
                <w:szCs w:val="18"/>
                <w:lang w:val="en-GB"/>
              </w:rPr>
              <w:t xml:space="preserve">- Plaice box (Sectorial) </w:t>
            </w:r>
          </w:p>
        </w:tc>
        <w:tc>
          <w:tcPr>
            <w:tcW w:w="2268" w:type="dxa"/>
          </w:tcPr>
          <w:p w:rsidR="00027832" w:rsidRPr="00551266" w:rsidRDefault="00027832" w:rsidP="00820E66">
            <w:pPr>
              <w:rPr>
                <w:sz w:val="18"/>
                <w:szCs w:val="18"/>
                <w:lang w:val="en-GB"/>
              </w:rPr>
            </w:pPr>
            <w:r w:rsidRPr="00551266">
              <w:rPr>
                <w:sz w:val="18"/>
                <w:szCs w:val="18"/>
                <w:lang w:val="en-GB"/>
              </w:rPr>
              <w:t>- Cross-sectorial conservation measure (national park)</w:t>
            </w:r>
          </w:p>
          <w:p w:rsidR="00027832" w:rsidRPr="00551266" w:rsidRDefault="00027832" w:rsidP="00820E66">
            <w:pPr>
              <w:rPr>
                <w:sz w:val="18"/>
                <w:szCs w:val="18"/>
                <w:lang w:val="en-GB"/>
              </w:rPr>
            </w:pPr>
            <w:r w:rsidRPr="00551266">
              <w:rPr>
                <w:sz w:val="18"/>
                <w:szCs w:val="18"/>
                <w:lang w:val="en-GB"/>
              </w:rPr>
              <w:t>- Cross-sectorial conservation measure (nature reserve)</w:t>
            </w:r>
          </w:p>
          <w:p w:rsidR="00027832" w:rsidRPr="00551266" w:rsidRDefault="00027832" w:rsidP="00820E66">
            <w:pPr>
              <w:rPr>
                <w:sz w:val="18"/>
                <w:szCs w:val="18"/>
                <w:lang w:val="en-GB"/>
              </w:rPr>
            </w:pPr>
            <w:r w:rsidRPr="00551266">
              <w:rPr>
                <w:sz w:val="18"/>
                <w:szCs w:val="18"/>
                <w:lang w:val="en-GB"/>
              </w:rPr>
              <w:lastRenderedPageBreak/>
              <w:t>- Important wetlands / RAMSAR sites / Birds protection sites</w:t>
            </w:r>
          </w:p>
          <w:p w:rsidR="00027832" w:rsidRPr="00551266" w:rsidRDefault="00027832" w:rsidP="00820E66">
            <w:pPr>
              <w:rPr>
                <w:sz w:val="18"/>
                <w:szCs w:val="18"/>
                <w:lang w:val="en-GB"/>
              </w:rPr>
            </w:pPr>
            <w:r w:rsidRPr="00551266">
              <w:rPr>
                <w:sz w:val="18"/>
                <w:szCs w:val="18"/>
                <w:lang w:val="en-GB"/>
              </w:rPr>
              <w:t>- Ecologically or Significant Marine Areas (EBSAS)</w:t>
            </w:r>
          </w:p>
        </w:tc>
        <w:tc>
          <w:tcPr>
            <w:tcW w:w="1984" w:type="dxa"/>
          </w:tcPr>
          <w:p w:rsidR="00027832" w:rsidRPr="00551266" w:rsidRDefault="00027832" w:rsidP="00820E66">
            <w:pPr>
              <w:rPr>
                <w:sz w:val="18"/>
                <w:szCs w:val="18"/>
                <w:lang w:val="en-GB"/>
              </w:rPr>
            </w:pPr>
            <w:r w:rsidRPr="00551266">
              <w:rPr>
                <w:sz w:val="18"/>
                <w:szCs w:val="18"/>
                <w:lang w:val="en-GB"/>
              </w:rPr>
              <w:lastRenderedPageBreak/>
              <w:t>- Natura 2000 (SAC &amp; SPA)</w:t>
            </w:r>
          </w:p>
          <w:p w:rsidR="00027832" w:rsidRPr="00551266" w:rsidRDefault="00027832" w:rsidP="00820E66">
            <w:pPr>
              <w:rPr>
                <w:sz w:val="18"/>
                <w:szCs w:val="18"/>
                <w:lang w:val="en-GB"/>
              </w:rPr>
            </w:pPr>
            <w:r w:rsidRPr="00551266">
              <w:rPr>
                <w:sz w:val="18"/>
                <w:szCs w:val="18"/>
                <w:lang w:val="en-GB"/>
              </w:rPr>
              <w:t>- Historic MPA (HMPA)</w:t>
            </w:r>
          </w:p>
          <w:p w:rsidR="00027832" w:rsidRPr="00551266" w:rsidRDefault="00027832" w:rsidP="00820E66">
            <w:pPr>
              <w:rPr>
                <w:sz w:val="18"/>
                <w:szCs w:val="18"/>
                <w:lang w:val="en-GB"/>
              </w:rPr>
            </w:pPr>
            <w:r w:rsidRPr="00551266">
              <w:rPr>
                <w:sz w:val="18"/>
                <w:szCs w:val="18"/>
                <w:lang w:val="en-GB"/>
              </w:rPr>
              <w:t>- Demonstration &amp; Research Marine Protected Areas (D&amp;R MPAs)</w:t>
            </w:r>
          </w:p>
          <w:p w:rsidR="00027832" w:rsidRPr="00551266" w:rsidRDefault="00027832" w:rsidP="00820E66">
            <w:pPr>
              <w:rPr>
                <w:sz w:val="18"/>
                <w:szCs w:val="18"/>
                <w:lang w:val="en-GB"/>
              </w:rPr>
            </w:pPr>
            <w:r w:rsidRPr="00551266">
              <w:rPr>
                <w:sz w:val="18"/>
                <w:szCs w:val="18"/>
                <w:lang w:val="en-GB"/>
              </w:rPr>
              <w:lastRenderedPageBreak/>
              <w:t>- Sites of Specific Scientific Interest (SSSI)</w:t>
            </w:r>
          </w:p>
          <w:p w:rsidR="00027832" w:rsidRPr="00551266" w:rsidRDefault="00027832" w:rsidP="00820E66">
            <w:pPr>
              <w:rPr>
                <w:sz w:val="18"/>
                <w:szCs w:val="18"/>
                <w:lang w:val="en-GB"/>
              </w:rPr>
            </w:pPr>
            <w:r w:rsidRPr="00551266">
              <w:rPr>
                <w:sz w:val="18"/>
                <w:szCs w:val="18"/>
                <w:lang w:val="en-GB"/>
              </w:rPr>
              <w:t>- National Nature Reserve (NNR)</w:t>
            </w:r>
          </w:p>
          <w:p w:rsidR="00027832" w:rsidRPr="00551266" w:rsidRDefault="00027832" w:rsidP="00820E66">
            <w:pPr>
              <w:rPr>
                <w:sz w:val="18"/>
                <w:szCs w:val="18"/>
                <w:lang w:val="en-GB"/>
              </w:rPr>
            </w:pPr>
            <w:r w:rsidRPr="00551266">
              <w:rPr>
                <w:sz w:val="18"/>
                <w:szCs w:val="18"/>
                <w:lang w:val="en-GB"/>
              </w:rPr>
              <w:t>- Nature conservation MPA (NCMPA)</w:t>
            </w:r>
          </w:p>
          <w:p w:rsidR="00027832" w:rsidRPr="00551266" w:rsidRDefault="00027832" w:rsidP="00820E66">
            <w:pPr>
              <w:rPr>
                <w:sz w:val="18"/>
                <w:szCs w:val="18"/>
                <w:lang w:val="en-GB"/>
              </w:rPr>
            </w:pPr>
            <w:r w:rsidRPr="00551266">
              <w:rPr>
                <w:sz w:val="18"/>
                <w:szCs w:val="18"/>
                <w:lang w:val="en-GB"/>
              </w:rPr>
              <w:t>- Ramsar</w:t>
            </w:r>
          </w:p>
        </w:tc>
        <w:tc>
          <w:tcPr>
            <w:tcW w:w="1985" w:type="dxa"/>
          </w:tcPr>
          <w:p w:rsidR="00027832" w:rsidRPr="00551266" w:rsidRDefault="00027832" w:rsidP="00820E66">
            <w:pPr>
              <w:rPr>
                <w:rFonts w:cs="ArialMT"/>
                <w:sz w:val="18"/>
                <w:szCs w:val="18"/>
                <w:lang w:eastAsia="de-DE"/>
              </w:rPr>
            </w:pPr>
            <w:r w:rsidRPr="00551266">
              <w:rPr>
                <w:sz w:val="18"/>
                <w:szCs w:val="18"/>
                <w:lang w:val="en-GB"/>
              </w:rPr>
              <w:lastRenderedPageBreak/>
              <w:t xml:space="preserve">- </w:t>
            </w:r>
            <w:r w:rsidRPr="00551266">
              <w:rPr>
                <w:rFonts w:cs="ArialMT"/>
                <w:sz w:val="18"/>
                <w:szCs w:val="18"/>
                <w:lang w:eastAsia="de-DE"/>
              </w:rPr>
              <w:t>Natura 2000 (SAC &amp; SPA)</w:t>
            </w:r>
          </w:p>
          <w:p w:rsidR="00027832" w:rsidRPr="00551266" w:rsidRDefault="00027832" w:rsidP="00820E66">
            <w:pPr>
              <w:rPr>
                <w:rFonts w:cs="ArialMT"/>
                <w:sz w:val="18"/>
                <w:szCs w:val="18"/>
                <w:lang w:eastAsia="de-DE"/>
              </w:rPr>
            </w:pPr>
            <w:r w:rsidRPr="00551266">
              <w:rPr>
                <w:rFonts w:cs="SymbolMT"/>
                <w:sz w:val="18"/>
                <w:szCs w:val="18"/>
                <w:lang w:eastAsia="de-DE"/>
              </w:rPr>
              <w:t xml:space="preserve">- </w:t>
            </w:r>
            <w:r w:rsidRPr="00551266">
              <w:rPr>
                <w:rFonts w:cs="ArialMT"/>
                <w:sz w:val="18"/>
                <w:szCs w:val="18"/>
                <w:lang w:eastAsia="de-DE"/>
              </w:rPr>
              <w:t>Nature reserve</w:t>
            </w:r>
          </w:p>
          <w:p w:rsidR="00027832" w:rsidRPr="00551266" w:rsidRDefault="00027832" w:rsidP="00820E66">
            <w:pPr>
              <w:rPr>
                <w:sz w:val="18"/>
                <w:szCs w:val="18"/>
                <w:lang w:val="en-GB"/>
              </w:rPr>
            </w:pPr>
            <w:r w:rsidRPr="00551266">
              <w:rPr>
                <w:rFonts w:cs="SymbolMT"/>
                <w:sz w:val="18"/>
                <w:szCs w:val="18"/>
                <w:lang w:eastAsia="de-DE"/>
              </w:rPr>
              <w:t xml:space="preserve">- </w:t>
            </w:r>
            <w:r w:rsidRPr="00551266">
              <w:rPr>
                <w:rFonts w:cs="ArialMT"/>
                <w:sz w:val="18"/>
                <w:szCs w:val="18"/>
                <w:lang w:eastAsia="de-DE"/>
              </w:rPr>
              <w:t>National park</w:t>
            </w:r>
          </w:p>
        </w:tc>
      </w:tr>
      <w:tr w:rsidR="00027832" w:rsidRPr="00551266" w:rsidTr="00027832">
        <w:tc>
          <w:tcPr>
            <w:tcW w:w="2093" w:type="dxa"/>
            <w:shd w:val="clear" w:color="auto" w:fill="D6E3BC" w:themeFill="accent3" w:themeFillTint="66"/>
          </w:tcPr>
          <w:p w:rsidR="00027832" w:rsidRPr="00551266" w:rsidRDefault="00027832" w:rsidP="00820E66">
            <w:pPr>
              <w:rPr>
                <w:sz w:val="18"/>
                <w:szCs w:val="18"/>
                <w:lang w:val="en-GB"/>
              </w:rPr>
            </w:pPr>
            <w:r w:rsidRPr="00551266">
              <w:rPr>
                <w:sz w:val="18"/>
                <w:szCs w:val="18"/>
                <w:lang w:val="en-GB"/>
              </w:rPr>
              <w:t>Consideration of any connectivity between MPAs and other ecologically valuable areas</w:t>
            </w:r>
          </w:p>
        </w:tc>
        <w:tc>
          <w:tcPr>
            <w:tcW w:w="1701" w:type="dxa"/>
          </w:tcPr>
          <w:p w:rsidR="00027832" w:rsidRPr="00551266" w:rsidRDefault="00027832" w:rsidP="00820E66">
            <w:pPr>
              <w:rPr>
                <w:sz w:val="18"/>
                <w:szCs w:val="18"/>
                <w:lang w:val="en-GB"/>
              </w:rPr>
            </w:pPr>
          </w:p>
        </w:tc>
        <w:tc>
          <w:tcPr>
            <w:tcW w:w="1276" w:type="dxa"/>
          </w:tcPr>
          <w:p w:rsidR="00027832" w:rsidRPr="00551266" w:rsidRDefault="00027832" w:rsidP="00820E66">
            <w:pPr>
              <w:rPr>
                <w:sz w:val="18"/>
                <w:szCs w:val="18"/>
                <w:lang w:val="en-GB"/>
              </w:rPr>
            </w:pPr>
          </w:p>
        </w:tc>
        <w:tc>
          <w:tcPr>
            <w:tcW w:w="2835" w:type="dxa"/>
          </w:tcPr>
          <w:p w:rsidR="00027832" w:rsidRPr="00551266" w:rsidRDefault="00027832" w:rsidP="00820E66">
            <w:pPr>
              <w:rPr>
                <w:sz w:val="18"/>
                <w:szCs w:val="18"/>
                <w:lang w:val="en-GB"/>
              </w:rPr>
            </w:pPr>
            <w:r w:rsidRPr="00551266">
              <w:rPr>
                <w:sz w:val="18"/>
                <w:szCs w:val="18"/>
                <w:lang w:val="en-GB"/>
              </w:rPr>
              <w:t xml:space="preserve">Connectivity </w:t>
            </w:r>
            <w:r>
              <w:rPr>
                <w:sz w:val="18"/>
                <w:szCs w:val="18"/>
                <w:lang w:val="en-GB"/>
              </w:rPr>
              <w:t xml:space="preserve">between MPAs </w:t>
            </w:r>
            <w:r w:rsidRPr="00551266">
              <w:rPr>
                <w:sz w:val="18"/>
                <w:szCs w:val="18"/>
                <w:lang w:val="en-GB"/>
              </w:rPr>
              <w:t xml:space="preserve">was not considered in the </w:t>
            </w:r>
            <w:r>
              <w:rPr>
                <w:sz w:val="18"/>
                <w:szCs w:val="18"/>
                <w:lang w:val="en-GB"/>
              </w:rPr>
              <w:t>first</w:t>
            </w:r>
            <w:r w:rsidRPr="00551266">
              <w:rPr>
                <w:sz w:val="18"/>
                <w:szCs w:val="18"/>
                <w:lang w:val="en-GB"/>
              </w:rPr>
              <w:t xml:space="preserve"> plan</w:t>
            </w:r>
            <w:r>
              <w:rPr>
                <w:sz w:val="18"/>
                <w:szCs w:val="18"/>
                <w:lang w:val="en-GB"/>
              </w:rPr>
              <w:t>.</w:t>
            </w:r>
          </w:p>
        </w:tc>
        <w:tc>
          <w:tcPr>
            <w:tcW w:w="1701" w:type="dxa"/>
          </w:tcPr>
          <w:p w:rsidR="00027832" w:rsidRPr="00551266" w:rsidRDefault="00027832" w:rsidP="00820E66">
            <w:pPr>
              <w:rPr>
                <w:sz w:val="18"/>
                <w:szCs w:val="18"/>
                <w:lang w:val="en-GB"/>
              </w:rPr>
            </w:pPr>
            <w:r w:rsidRPr="00551266">
              <w:rPr>
                <w:sz w:val="18"/>
                <w:szCs w:val="18"/>
                <w:lang w:val="en-GB"/>
              </w:rPr>
              <w:t xml:space="preserve">These have not yet been considered as such but because of the MSFD requirement </w:t>
            </w:r>
            <w:r>
              <w:rPr>
                <w:sz w:val="18"/>
                <w:szCs w:val="18"/>
                <w:lang w:val="en-GB"/>
              </w:rPr>
              <w:t xml:space="preserve">to protect the sea floor, some </w:t>
            </w:r>
            <w:r w:rsidRPr="00551266">
              <w:rPr>
                <w:sz w:val="18"/>
                <w:szCs w:val="18"/>
                <w:lang w:val="en-GB"/>
              </w:rPr>
              <w:t>areas outside N2000 are going to be restricted for bottom trawling.</w:t>
            </w:r>
          </w:p>
        </w:tc>
        <w:tc>
          <w:tcPr>
            <w:tcW w:w="2268" w:type="dxa"/>
          </w:tcPr>
          <w:p w:rsidR="00027832" w:rsidRPr="00551266" w:rsidRDefault="00027832" w:rsidP="00820E66">
            <w:pPr>
              <w:rPr>
                <w:sz w:val="18"/>
                <w:szCs w:val="18"/>
                <w:lang w:val="en-GB"/>
              </w:rPr>
            </w:pPr>
            <w:r w:rsidRPr="00551266">
              <w:rPr>
                <w:sz w:val="18"/>
                <w:szCs w:val="18"/>
                <w:lang w:val="en-GB"/>
              </w:rPr>
              <w:t>Connectivity was not considered in the last plan, but will be in the future</w:t>
            </w:r>
          </w:p>
        </w:tc>
        <w:tc>
          <w:tcPr>
            <w:tcW w:w="1984" w:type="dxa"/>
          </w:tcPr>
          <w:p w:rsidR="00027832" w:rsidRPr="00551266" w:rsidRDefault="00027832" w:rsidP="00820E66">
            <w:pPr>
              <w:rPr>
                <w:sz w:val="18"/>
                <w:szCs w:val="18"/>
                <w:lang w:val="en-GB"/>
              </w:rPr>
            </w:pPr>
            <w:r w:rsidRPr="00551266">
              <w:rPr>
                <w:sz w:val="18"/>
                <w:szCs w:val="18"/>
                <w:lang w:val="en-GB"/>
              </w:rPr>
              <w:t>Connectivity or linkages between MPAs within the network is considered</w:t>
            </w:r>
          </w:p>
        </w:tc>
        <w:tc>
          <w:tcPr>
            <w:tcW w:w="1985" w:type="dxa"/>
          </w:tcPr>
          <w:p w:rsidR="00027832" w:rsidRPr="00551266" w:rsidRDefault="00027832" w:rsidP="00820E66">
            <w:pPr>
              <w:rPr>
                <w:sz w:val="18"/>
                <w:szCs w:val="18"/>
                <w:lang w:val="en-GB"/>
              </w:rPr>
            </w:pPr>
          </w:p>
        </w:tc>
      </w:tr>
      <w:tr w:rsidR="00027832" w:rsidRPr="00551266" w:rsidTr="00027832">
        <w:tc>
          <w:tcPr>
            <w:tcW w:w="2093" w:type="dxa"/>
            <w:shd w:val="clear" w:color="auto" w:fill="D6E3BC" w:themeFill="accent3" w:themeFillTint="66"/>
          </w:tcPr>
          <w:p w:rsidR="00027832" w:rsidRPr="00551266" w:rsidRDefault="00027832" w:rsidP="00820E66">
            <w:pPr>
              <w:rPr>
                <w:sz w:val="18"/>
                <w:szCs w:val="18"/>
                <w:lang w:val="en-GB"/>
              </w:rPr>
            </w:pPr>
            <w:r w:rsidRPr="00551266">
              <w:rPr>
                <w:sz w:val="18"/>
                <w:szCs w:val="18"/>
                <w:lang w:val="en-GB"/>
              </w:rPr>
              <w:t>Restrictions in MPAs and other ecologically valuable areas (no fishing, shipping etc.)</w:t>
            </w:r>
          </w:p>
        </w:tc>
        <w:tc>
          <w:tcPr>
            <w:tcW w:w="1701" w:type="dxa"/>
          </w:tcPr>
          <w:p w:rsidR="00027832" w:rsidRPr="00551266" w:rsidRDefault="00027832" w:rsidP="00820E66">
            <w:pPr>
              <w:rPr>
                <w:sz w:val="18"/>
                <w:szCs w:val="18"/>
                <w:lang w:val="en-GB"/>
              </w:rPr>
            </w:pPr>
            <w:r w:rsidRPr="00551266">
              <w:rPr>
                <w:sz w:val="18"/>
                <w:szCs w:val="18"/>
                <w:lang w:val="en-GB"/>
              </w:rPr>
              <w:t>No fishing in fishing limitation zones, in other MPAs all impacts regulated</w:t>
            </w:r>
          </w:p>
        </w:tc>
        <w:tc>
          <w:tcPr>
            <w:tcW w:w="1276" w:type="dxa"/>
          </w:tcPr>
          <w:p w:rsidR="00027832" w:rsidRPr="00551266" w:rsidRDefault="00027832" w:rsidP="00820E66">
            <w:pPr>
              <w:rPr>
                <w:sz w:val="18"/>
                <w:szCs w:val="18"/>
              </w:rPr>
            </w:pPr>
            <w:r w:rsidRPr="00551266">
              <w:rPr>
                <w:sz w:val="18"/>
                <w:szCs w:val="18"/>
                <w:lang w:val="en-GB"/>
              </w:rPr>
              <w:t>Identified pressures in Natura 2000, Any activity unless engaged in before an area became protected in protected nature types</w:t>
            </w:r>
          </w:p>
        </w:tc>
        <w:tc>
          <w:tcPr>
            <w:tcW w:w="2835" w:type="dxa"/>
          </w:tcPr>
          <w:p w:rsidR="00027832" w:rsidRPr="006A3972" w:rsidRDefault="00027832" w:rsidP="00820E66">
            <w:pPr>
              <w:rPr>
                <w:sz w:val="18"/>
                <w:szCs w:val="18"/>
                <w:lang w:val="en-GB"/>
              </w:rPr>
            </w:pPr>
            <w:r w:rsidRPr="00551266">
              <w:rPr>
                <w:rFonts w:cs="Calibri"/>
                <w:sz w:val="18"/>
                <w:szCs w:val="18"/>
                <w:lang w:eastAsia="de-DE"/>
              </w:rPr>
              <w:t>Anthropogenic impacts such as tourism, camping, but also industrial use in national parks; defined activities in Natura 2000 and nature conservation areas</w:t>
            </w:r>
            <w:r>
              <w:rPr>
                <w:rFonts w:cs="Calibri"/>
                <w:sz w:val="18"/>
                <w:szCs w:val="18"/>
                <w:lang w:eastAsia="de-DE"/>
              </w:rPr>
              <w:t xml:space="preserve">, for example for NSG EEZ: relocation of dredges material, aquaculture, recreational fishing, introduction of non-indigenous species.  </w:t>
            </w:r>
          </w:p>
        </w:tc>
        <w:tc>
          <w:tcPr>
            <w:tcW w:w="1701" w:type="dxa"/>
          </w:tcPr>
          <w:p w:rsidR="00027832" w:rsidRPr="00551266" w:rsidRDefault="00027832" w:rsidP="00820E66">
            <w:pPr>
              <w:rPr>
                <w:sz w:val="18"/>
                <w:szCs w:val="18"/>
                <w:lang w:val="en-GB"/>
              </w:rPr>
            </w:pPr>
            <w:r w:rsidRPr="00551266">
              <w:rPr>
                <w:sz w:val="18"/>
                <w:szCs w:val="18"/>
                <w:lang w:val="en-GB"/>
              </w:rPr>
              <w:t xml:space="preserve">No bottom trawling in plaice box, direct restriction of certain activities in Natura 2000, depending on area restriction to fisheries. </w:t>
            </w:r>
          </w:p>
          <w:p w:rsidR="00027832" w:rsidRPr="00551266" w:rsidRDefault="00027832" w:rsidP="00820E66">
            <w:pPr>
              <w:rPr>
                <w:sz w:val="18"/>
                <w:szCs w:val="18"/>
              </w:rPr>
            </w:pPr>
          </w:p>
        </w:tc>
        <w:tc>
          <w:tcPr>
            <w:tcW w:w="2268" w:type="dxa"/>
          </w:tcPr>
          <w:p w:rsidR="00027832" w:rsidRPr="00551266" w:rsidRDefault="00027832" w:rsidP="00820E66">
            <w:pPr>
              <w:rPr>
                <w:sz w:val="18"/>
                <w:szCs w:val="18"/>
                <w:lang w:val="en-GB"/>
              </w:rPr>
            </w:pPr>
            <w:r w:rsidRPr="00551266">
              <w:rPr>
                <w:sz w:val="18"/>
                <w:szCs w:val="18"/>
              </w:rPr>
              <w:t>Restrictions on a</w:t>
            </w:r>
            <w:r w:rsidRPr="00551266">
              <w:rPr>
                <w:sz w:val="18"/>
                <w:szCs w:val="18"/>
                <w:lang w:val="en-GB"/>
              </w:rPr>
              <w:t>activities that have an impact on MPA (reduce conservation values, change natural environment). In other valuable areas, there may also be specific restrictions to maintain the ecosystem values. E g no or reduced oil activities, no bottom trawling</w:t>
            </w:r>
          </w:p>
        </w:tc>
        <w:tc>
          <w:tcPr>
            <w:tcW w:w="1984" w:type="dxa"/>
          </w:tcPr>
          <w:p w:rsidR="00027832" w:rsidRPr="00551266" w:rsidRDefault="00027832" w:rsidP="00820E66">
            <w:pPr>
              <w:rPr>
                <w:sz w:val="18"/>
                <w:szCs w:val="18"/>
                <w:lang w:val="en-GB"/>
              </w:rPr>
            </w:pPr>
            <w:r w:rsidRPr="00551266">
              <w:rPr>
                <w:sz w:val="18"/>
                <w:szCs w:val="18"/>
                <w:lang w:val="en-GB"/>
              </w:rPr>
              <w:t xml:space="preserve">MPAs are managed to conserve or recover the features within MPAs and the principle of sustainable use allows for appropriate activities to continue in the rest of the MPA. However specific activities which pose a significant risk to a protected feature will be managed. </w:t>
            </w:r>
          </w:p>
        </w:tc>
        <w:tc>
          <w:tcPr>
            <w:tcW w:w="1985" w:type="dxa"/>
          </w:tcPr>
          <w:p w:rsidR="00027832" w:rsidRPr="00551266" w:rsidRDefault="00027832" w:rsidP="00820E66">
            <w:pPr>
              <w:rPr>
                <w:sz w:val="18"/>
                <w:szCs w:val="18"/>
              </w:rPr>
            </w:pPr>
            <w:r w:rsidRPr="00551266">
              <w:rPr>
                <w:rFonts w:cs="Calibri"/>
                <w:sz w:val="18"/>
                <w:szCs w:val="18"/>
                <w:lang w:eastAsia="de-DE"/>
              </w:rPr>
              <w:t>All pressures impacting endpoints in Natura 2000 and national park, defined activities in nature reserve</w:t>
            </w:r>
          </w:p>
        </w:tc>
      </w:tr>
      <w:tr w:rsidR="00027832" w:rsidRPr="00551266" w:rsidTr="00027832">
        <w:tc>
          <w:tcPr>
            <w:tcW w:w="2093" w:type="dxa"/>
            <w:shd w:val="clear" w:color="auto" w:fill="D6E3BC" w:themeFill="accent3" w:themeFillTint="66"/>
          </w:tcPr>
          <w:p w:rsidR="00027832" w:rsidRPr="00551266" w:rsidRDefault="00027832" w:rsidP="00820E66">
            <w:pPr>
              <w:rPr>
                <w:sz w:val="18"/>
                <w:szCs w:val="18"/>
                <w:lang w:val="en-GB"/>
              </w:rPr>
            </w:pPr>
            <w:r w:rsidRPr="00551266">
              <w:rPr>
                <w:sz w:val="18"/>
                <w:szCs w:val="18"/>
                <w:lang w:val="en-GB"/>
              </w:rPr>
              <w:lastRenderedPageBreak/>
              <w:t>Do you and how do you apply the EBA in your MSP?</w:t>
            </w:r>
          </w:p>
        </w:tc>
        <w:tc>
          <w:tcPr>
            <w:tcW w:w="1701" w:type="dxa"/>
          </w:tcPr>
          <w:p w:rsidR="00027832" w:rsidRPr="00551266" w:rsidRDefault="00027832" w:rsidP="00820E66">
            <w:pPr>
              <w:rPr>
                <w:sz w:val="18"/>
                <w:szCs w:val="18"/>
                <w:lang w:val="en-GB"/>
              </w:rPr>
            </w:pPr>
          </w:p>
        </w:tc>
        <w:tc>
          <w:tcPr>
            <w:tcW w:w="1276" w:type="dxa"/>
          </w:tcPr>
          <w:p w:rsidR="00027832" w:rsidRPr="00551266" w:rsidRDefault="00027832" w:rsidP="00820E66">
            <w:pPr>
              <w:rPr>
                <w:sz w:val="18"/>
                <w:szCs w:val="18"/>
                <w:lang w:val="en-GB"/>
              </w:rPr>
            </w:pPr>
          </w:p>
        </w:tc>
        <w:tc>
          <w:tcPr>
            <w:tcW w:w="2835" w:type="dxa"/>
          </w:tcPr>
          <w:p w:rsidR="00027832" w:rsidRDefault="00027832" w:rsidP="00820E66">
            <w:pPr>
              <w:rPr>
                <w:sz w:val="18"/>
                <w:szCs w:val="18"/>
                <w:lang w:val="en-GB"/>
              </w:rPr>
            </w:pPr>
            <w:r w:rsidRPr="00551266">
              <w:rPr>
                <w:sz w:val="18"/>
                <w:szCs w:val="18"/>
                <w:lang w:val="en-GB"/>
              </w:rPr>
              <w:t xml:space="preserve">In the current </w:t>
            </w:r>
            <w:r>
              <w:rPr>
                <w:sz w:val="18"/>
                <w:szCs w:val="18"/>
                <w:lang w:val="en-GB"/>
              </w:rPr>
              <w:t>MSP, adopted in 2009,</w:t>
            </w:r>
            <w:r w:rsidRPr="00551266">
              <w:rPr>
                <w:sz w:val="18"/>
                <w:szCs w:val="18"/>
                <w:lang w:val="en-GB"/>
              </w:rPr>
              <w:t xml:space="preserve"> the EBA was </w:t>
            </w:r>
            <w:r>
              <w:rPr>
                <w:sz w:val="18"/>
                <w:szCs w:val="18"/>
                <w:lang w:val="en-GB"/>
              </w:rPr>
              <w:t xml:space="preserve">only considered in terms of food chain interactions. </w:t>
            </w:r>
          </w:p>
          <w:p w:rsidR="00027832" w:rsidRDefault="00027832" w:rsidP="00820E66">
            <w:pPr>
              <w:rPr>
                <w:sz w:val="18"/>
                <w:szCs w:val="18"/>
                <w:lang w:val="en-GB"/>
              </w:rPr>
            </w:pPr>
          </w:p>
          <w:p w:rsidR="00027832" w:rsidRPr="00551266" w:rsidRDefault="00027832" w:rsidP="00820E66">
            <w:pPr>
              <w:rPr>
                <w:sz w:val="18"/>
                <w:szCs w:val="18"/>
                <w:lang w:val="en-GB"/>
              </w:rPr>
            </w:pPr>
            <w:r>
              <w:rPr>
                <w:sz w:val="18"/>
                <w:szCs w:val="18"/>
                <w:lang w:val="en-GB"/>
              </w:rPr>
              <w:t xml:space="preserve">For the revision of the </w:t>
            </w:r>
            <w:r w:rsidRPr="00551266">
              <w:rPr>
                <w:sz w:val="18"/>
                <w:szCs w:val="18"/>
                <w:lang w:val="en-GB"/>
              </w:rPr>
              <w:t xml:space="preserve">plan (adoption </w:t>
            </w:r>
            <w:r>
              <w:rPr>
                <w:sz w:val="18"/>
                <w:szCs w:val="18"/>
                <w:lang w:val="en-GB"/>
              </w:rPr>
              <w:t xml:space="preserve">planned </w:t>
            </w:r>
            <w:r w:rsidRPr="00551266">
              <w:rPr>
                <w:sz w:val="18"/>
                <w:szCs w:val="18"/>
                <w:lang w:val="en-GB"/>
              </w:rPr>
              <w:t>in 2021) there is an ongoing discussion within BSH on how to implement the EBA</w:t>
            </w:r>
            <w:r>
              <w:rPr>
                <w:sz w:val="18"/>
                <w:szCs w:val="18"/>
                <w:lang w:val="en-GB"/>
              </w:rPr>
              <w:t xml:space="preserve"> in a more comprehensive way</w:t>
            </w:r>
            <w:r w:rsidRPr="00551266">
              <w:rPr>
                <w:sz w:val="18"/>
                <w:szCs w:val="18"/>
                <w:lang w:val="en-GB"/>
              </w:rPr>
              <w:t xml:space="preserve">. </w:t>
            </w:r>
          </w:p>
        </w:tc>
        <w:tc>
          <w:tcPr>
            <w:tcW w:w="1701" w:type="dxa"/>
          </w:tcPr>
          <w:p w:rsidR="00027832" w:rsidRPr="00551266" w:rsidRDefault="00027832" w:rsidP="00820E66">
            <w:pPr>
              <w:rPr>
                <w:sz w:val="18"/>
                <w:szCs w:val="18"/>
                <w:lang w:val="en-GB"/>
              </w:rPr>
            </w:pPr>
            <w:r w:rsidRPr="00551266">
              <w:rPr>
                <w:sz w:val="18"/>
                <w:szCs w:val="18"/>
                <w:lang w:val="en-GB"/>
              </w:rPr>
              <w:t>The criteria of the MSFD for Good Environmental Status are considered as a practical appro</w:t>
            </w:r>
            <w:r>
              <w:rPr>
                <w:sz w:val="18"/>
                <w:szCs w:val="18"/>
                <w:lang w:val="en-GB"/>
              </w:rPr>
              <w:t xml:space="preserve">ach to EBA. These criteria are </w:t>
            </w:r>
            <w:r w:rsidRPr="00551266">
              <w:rPr>
                <w:sz w:val="18"/>
                <w:szCs w:val="18"/>
                <w:lang w:val="en-GB"/>
              </w:rPr>
              <w:t>applied for the assessment of the impacts of each initiative and collectively (accumulation) in a Strategic Environmental Assessment.</w:t>
            </w:r>
          </w:p>
          <w:p w:rsidR="00027832" w:rsidRPr="00551266" w:rsidRDefault="00027832" w:rsidP="00820E66">
            <w:pPr>
              <w:rPr>
                <w:sz w:val="18"/>
                <w:szCs w:val="18"/>
                <w:lang w:val="en-GB"/>
              </w:rPr>
            </w:pPr>
            <w:r w:rsidRPr="00551266">
              <w:rPr>
                <w:rFonts w:cs="RijksoverheidSerif"/>
                <w:color w:val="000000"/>
                <w:sz w:val="18"/>
                <w:szCs w:val="18"/>
              </w:rPr>
              <w:t>The starting points are the ecosystem approach and the precautionary principle.</w:t>
            </w:r>
          </w:p>
        </w:tc>
        <w:tc>
          <w:tcPr>
            <w:tcW w:w="2268" w:type="dxa"/>
          </w:tcPr>
          <w:p w:rsidR="00027832" w:rsidRPr="00551266" w:rsidRDefault="00027832" w:rsidP="00820E66">
            <w:pPr>
              <w:rPr>
                <w:sz w:val="18"/>
                <w:szCs w:val="18"/>
                <w:lang w:val="en-GB"/>
              </w:rPr>
            </w:pPr>
            <w:r w:rsidRPr="00551266">
              <w:rPr>
                <w:sz w:val="18"/>
                <w:szCs w:val="18"/>
                <w:lang w:val="en-GB"/>
              </w:rPr>
              <w:t xml:space="preserve">EBA </w:t>
            </w:r>
            <w:r w:rsidRPr="00551266">
              <w:rPr>
                <w:rFonts w:cstheme="minorHAnsi"/>
                <w:sz w:val="18"/>
                <w:szCs w:val="18"/>
                <w:lang w:val="en-GB"/>
              </w:rPr>
              <w:t xml:space="preserve">is </w:t>
            </w:r>
            <w:r w:rsidRPr="00551266">
              <w:rPr>
                <w:rFonts w:cstheme="minorHAnsi"/>
                <w:color w:val="222222"/>
                <w:sz w:val="18"/>
                <w:szCs w:val="18"/>
                <w:lang w:val="en"/>
              </w:rPr>
              <w:t>a natural part of the Norwegian marine management. It is the basis for the process and organization of the work with the management plans.</w:t>
            </w:r>
            <w:r w:rsidRPr="00551266">
              <w:rPr>
                <w:sz w:val="18"/>
                <w:szCs w:val="18"/>
                <w:lang w:val="en-GB"/>
              </w:rPr>
              <w:t xml:space="preserve"> </w:t>
            </w:r>
          </w:p>
        </w:tc>
        <w:tc>
          <w:tcPr>
            <w:tcW w:w="1984" w:type="dxa"/>
          </w:tcPr>
          <w:p w:rsidR="00027832" w:rsidRPr="00551266" w:rsidRDefault="00027832" w:rsidP="00820E66">
            <w:pPr>
              <w:rPr>
                <w:sz w:val="18"/>
                <w:szCs w:val="18"/>
                <w:lang w:val="en-GB"/>
              </w:rPr>
            </w:pPr>
            <w:r w:rsidRPr="00551266">
              <w:rPr>
                <w:sz w:val="18"/>
                <w:szCs w:val="18"/>
                <w:lang w:val="en-GB"/>
              </w:rPr>
              <w:t>Scotland’s National Marine Plan promotes an ecosystem approach but the current state of knowledge about many aspects of the structure and functioning of marine ecosystems limits how this principle can be translated into definitive planning policies. In particular, an EBA is applied to the management of fishing.</w:t>
            </w:r>
          </w:p>
        </w:tc>
        <w:tc>
          <w:tcPr>
            <w:tcW w:w="1985" w:type="dxa"/>
          </w:tcPr>
          <w:p w:rsidR="00027832" w:rsidRPr="00551266" w:rsidRDefault="00027832" w:rsidP="00820E66">
            <w:pPr>
              <w:rPr>
                <w:sz w:val="18"/>
                <w:szCs w:val="18"/>
                <w:lang w:val="en-GB"/>
              </w:rPr>
            </w:pPr>
          </w:p>
        </w:tc>
      </w:tr>
    </w:tbl>
    <w:p w:rsidR="004972F7" w:rsidRPr="00352674" w:rsidRDefault="004972F7" w:rsidP="004225D8">
      <w:pPr>
        <w:tabs>
          <w:tab w:val="left" w:pos="2640"/>
        </w:tabs>
        <w:sectPr w:rsidR="004972F7" w:rsidRPr="00352674" w:rsidSect="00352674">
          <w:headerReference w:type="default" r:id="rId8"/>
          <w:footerReference w:type="default" r:id="rId9"/>
          <w:pgSz w:w="16839" w:h="11907" w:orient="landscape" w:code="9"/>
          <w:pgMar w:top="1418" w:right="1701" w:bottom="992" w:left="1843" w:header="571" w:footer="1800" w:gutter="0"/>
          <w:cols w:space="720"/>
          <w:docGrid w:linePitch="360"/>
        </w:sectPr>
      </w:pPr>
    </w:p>
    <w:tbl>
      <w:tblPr>
        <w:tblStyle w:val="Tabellenraster"/>
        <w:tblW w:w="0" w:type="auto"/>
        <w:tblLook w:val="04A0" w:firstRow="1" w:lastRow="0" w:firstColumn="1" w:lastColumn="0" w:noHBand="0" w:noVBand="1"/>
      </w:tblPr>
      <w:tblGrid>
        <w:gridCol w:w="3124"/>
        <w:gridCol w:w="3275"/>
        <w:gridCol w:w="3088"/>
      </w:tblGrid>
      <w:tr w:rsidR="00027832" w:rsidTr="00820E66">
        <w:tc>
          <w:tcPr>
            <w:tcW w:w="5281" w:type="dxa"/>
          </w:tcPr>
          <w:p w:rsidR="00027832" w:rsidRDefault="00027832" w:rsidP="00820E66">
            <w:pPr>
              <w:rPr>
                <w:sz w:val="18"/>
                <w:szCs w:val="18"/>
              </w:rPr>
            </w:pPr>
            <w:r>
              <w:rPr>
                <w:sz w:val="18"/>
                <w:szCs w:val="18"/>
              </w:rPr>
              <w:lastRenderedPageBreak/>
              <w:t>Similarities</w:t>
            </w:r>
          </w:p>
        </w:tc>
        <w:tc>
          <w:tcPr>
            <w:tcW w:w="5281" w:type="dxa"/>
          </w:tcPr>
          <w:p w:rsidR="00027832" w:rsidRDefault="00027832" w:rsidP="00820E66">
            <w:pPr>
              <w:rPr>
                <w:sz w:val="18"/>
                <w:szCs w:val="18"/>
              </w:rPr>
            </w:pPr>
            <w:r>
              <w:rPr>
                <w:sz w:val="18"/>
                <w:szCs w:val="18"/>
              </w:rPr>
              <w:t>Differences</w:t>
            </w:r>
          </w:p>
        </w:tc>
        <w:tc>
          <w:tcPr>
            <w:tcW w:w="5282" w:type="dxa"/>
          </w:tcPr>
          <w:p w:rsidR="00027832" w:rsidRPr="00A6026B" w:rsidRDefault="00027832" w:rsidP="00820E66">
            <w:pPr>
              <w:rPr>
                <w:sz w:val="18"/>
                <w:szCs w:val="18"/>
              </w:rPr>
            </w:pPr>
            <w:r w:rsidRPr="00A6026B">
              <w:rPr>
                <w:sz w:val="18"/>
                <w:szCs w:val="18"/>
              </w:rPr>
              <w:t>Actions</w:t>
            </w:r>
          </w:p>
        </w:tc>
      </w:tr>
      <w:tr w:rsidR="00027832" w:rsidTr="00820E66">
        <w:tc>
          <w:tcPr>
            <w:tcW w:w="5281" w:type="dxa"/>
          </w:tcPr>
          <w:p w:rsidR="00027832" w:rsidRPr="00382DA1" w:rsidRDefault="00027832" w:rsidP="00225B86">
            <w:pPr>
              <w:pStyle w:val="Listenabsatz"/>
              <w:numPr>
                <w:ilvl w:val="0"/>
                <w:numId w:val="3"/>
              </w:numPr>
              <w:autoSpaceDE/>
              <w:autoSpaceDN/>
              <w:adjustRightInd/>
              <w:spacing w:before="0"/>
              <w:rPr>
                <w:sz w:val="18"/>
                <w:szCs w:val="18"/>
              </w:rPr>
            </w:pPr>
            <w:r w:rsidRPr="00382DA1">
              <w:rPr>
                <w:sz w:val="18"/>
                <w:szCs w:val="18"/>
              </w:rPr>
              <w:t>MPAs are designated by environmental authorities (not MSP)</w:t>
            </w:r>
          </w:p>
          <w:p w:rsidR="00027832" w:rsidRPr="00382DA1" w:rsidRDefault="00027832" w:rsidP="00225B86">
            <w:pPr>
              <w:pStyle w:val="Listenabsatz"/>
              <w:numPr>
                <w:ilvl w:val="0"/>
                <w:numId w:val="3"/>
              </w:numPr>
              <w:autoSpaceDE/>
              <w:autoSpaceDN/>
              <w:adjustRightInd/>
              <w:spacing w:before="0"/>
              <w:rPr>
                <w:sz w:val="18"/>
                <w:szCs w:val="18"/>
              </w:rPr>
            </w:pPr>
            <w:r w:rsidRPr="00382DA1">
              <w:rPr>
                <w:sz w:val="18"/>
                <w:szCs w:val="18"/>
              </w:rPr>
              <w:t>There is a communication between MPA planners and MSP planners</w:t>
            </w:r>
          </w:p>
          <w:p w:rsidR="00027832" w:rsidRPr="00382DA1" w:rsidRDefault="00027832" w:rsidP="00225B86">
            <w:pPr>
              <w:pStyle w:val="Listenabsatz"/>
              <w:numPr>
                <w:ilvl w:val="0"/>
                <w:numId w:val="3"/>
              </w:numPr>
              <w:autoSpaceDE/>
              <w:autoSpaceDN/>
              <w:adjustRightInd/>
              <w:spacing w:before="0"/>
              <w:rPr>
                <w:sz w:val="18"/>
                <w:szCs w:val="18"/>
              </w:rPr>
            </w:pPr>
            <w:r w:rsidRPr="00382DA1">
              <w:rPr>
                <w:sz w:val="18"/>
                <w:szCs w:val="18"/>
              </w:rPr>
              <w:t>Processes run more or less parallel.</w:t>
            </w:r>
          </w:p>
        </w:tc>
        <w:tc>
          <w:tcPr>
            <w:tcW w:w="5281" w:type="dxa"/>
          </w:tcPr>
          <w:p w:rsidR="00027832" w:rsidRDefault="00027832" w:rsidP="00225B86">
            <w:pPr>
              <w:pStyle w:val="Listenabsatz"/>
              <w:numPr>
                <w:ilvl w:val="0"/>
                <w:numId w:val="4"/>
              </w:numPr>
              <w:autoSpaceDE/>
              <w:autoSpaceDN/>
              <w:adjustRightInd/>
              <w:spacing w:before="0"/>
              <w:rPr>
                <w:sz w:val="18"/>
                <w:szCs w:val="18"/>
              </w:rPr>
            </w:pPr>
            <w:r w:rsidRPr="00382DA1">
              <w:rPr>
                <w:sz w:val="18"/>
                <w:szCs w:val="18"/>
              </w:rPr>
              <w:t>In NOR the MSP authority is also the environmental planning authority (same institute, different department).</w:t>
            </w:r>
          </w:p>
          <w:p w:rsidR="00027832" w:rsidRDefault="00027832" w:rsidP="00225B86">
            <w:pPr>
              <w:pStyle w:val="Listenabsatz"/>
              <w:numPr>
                <w:ilvl w:val="0"/>
                <w:numId w:val="4"/>
              </w:numPr>
              <w:autoSpaceDE/>
              <w:autoSpaceDN/>
              <w:adjustRightInd/>
              <w:spacing w:before="0"/>
              <w:rPr>
                <w:sz w:val="18"/>
                <w:szCs w:val="18"/>
              </w:rPr>
            </w:pPr>
            <w:r w:rsidRPr="00382DA1">
              <w:rPr>
                <w:sz w:val="18"/>
                <w:szCs w:val="18"/>
              </w:rPr>
              <w:t>In SWE the MPAs are mostly designated by municipal governments.</w:t>
            </w:r>
          </w:p>
          <w:p w:rsidR="00027832" w:rsidRDefault="00027832" w:rsidP="00225B86">
            <w:pPr>
              <w:pStyle w:val="Listenabsatz"/>
              <w:numPr>
                <w:ilvl w:val="0"/>
                <w:numId w:val="4"/>
              </w:numPr>
              <w:autoSpaceDE/>
              <w:autoSpaceDN/>
              <w:adjustRightInd/>
              <w:spacing w:before="0"/>
              <w:rPr>
                <w:sz w:val="18"/>
                <w:szCs w:val="18"/>
              </w:rPr>
            </w:pPr>
            <w:r w:rsidRPr="00382DA1">
              <w:rPr>
                <w:sz w:val="18"/>
                <w:szCs w:val="18"/>
              </w:rPr>
              <w:t>NOR has PVVAs (not legally binding, but recom</w:t>
            </w:r>
            <w:r>
              <w:rPr>
                <w:sz w:val="18"/>
                <w:szCs w:val="18"/>
              </w:rPr>
              <w:t>mendation</w:t>
            </w:r>
            <w:r w:rsidRPr="00382DA1">
              <w:rPr>
                <w:sz w:val="18"/>
                <w:szCs w:val="18"/>
              </w:rPr>
              <w:t>), and MPAs (legally binding, approved by king)</w:t>
            </w:r>
          </w:p>
          <w:p w:rsidR="00027832" w:rsidRDefault="00027832" w:rsidP="00225B86">
            <w:pPr>
              <w:pStyle w:val="Listenabsatz"/>
              <w:numPr>
                <w:ilvl w:val="0"/>
                <w:numId w:val="4"/>
              </w:numPr>
              <w:autoSpaceDE/>
              <w:autoSpaceDN/>
              <w:adjustRightInd/>
              <w:spacing w:before="0"/>
              <w:rPr>
                <w:sz w:val="18"/>
                <w:szCs w:val="18"/>
              </w:rPr>
            </w:pPr>
            <w:r w:rsidRPr="00382DA1">
              <w:rPr>
                <w:sz w:val="18"/>
                <w:szCs w:val="18"/>
              </w:rPr>
              <w:t>In some countries</w:t>
            </w:r>
            <w:r>
              <w:rPr>
                <w:sz w:val="18"/>
                <w:szCs w:val="18"/>
              </w:rPr>
              <w:t xml:space="preserve"> the communication between environmental</w:t>
            </w:r>
            <w:r w:rsidRPr="00382DA1">
              <w:rPr>
                <w:sz w:val="18"/>
                <w:szCs w:val="18"/>
              </w:rPr>
              <w:t xml:space="preserve"> Planners and MSP planners is easy, in others a bit more tensed.</w:t>
            </w:r>
          </w:p>
          <w:p w:rsidR="00027832" w:rsidRDefault="00027832" w:rsidP="00225B86">
            <w:pPr>
              <w:pStyle w:val="Listenabsatz"/>
              <w:numPr>
                <w:ilvl w:val="0"/>
                <w:numId w:val="4"/>
              </w:numPr>
              <w:autoSpaceDE/>
              <w:autoSpaceDN/>
              <w:adjustRightInd/>
              <w:spacing w:before="0"/>
              <w:rPr>
                <w:sz w:val="18"/>
                <w:szCs w:val="18"/>
              </w:rPr>
            </w:pPr>
            <w:r w:rsidRPr="00382DA1">
              <w:rPr>
                <w:sz w:val="18"/>
                <w:szCs w:val="18"/>
              </w:rPr>
              <w:t>Fishing limitations zones are in NL.</w:t>
            </w:r>
          </w:p>
          <w:p w:rsidR="00027832" w:rsidRDefault="00027832" w:rsidP="00225B86">
            <w:pPr>
              <w:pStyle w:val="Listenabsatz"/>
              <w:numPr>
                <w:ilvl w:val="0"/>
                <w:numId w:val="4"/>
              </w:numPr>
              <w:autoSpaceDE/>
              <w:autoSpaceDN/>
              <w:adjustRightInd/>
              <w:spacing w:before="0"/>
              <w:rPr>
                <w:sz w:val="18"/>
                <w:szCs w:val="18"/>
              </w:rPr>
            </w:pPr>
            <w:r w:rsidRPr="00382DA1">
              <w:rPr>
                <w:sz w:val="18"/>
                <w:szCs w:val="18"/>
              </w:rPr>
              <w:t>Fishing in OWF allowed in UK and DK (partly in NL)</w:t>
            </w:r>
          </w:p>
          <w:p w:rsidR="00027832" w:rsidRDefault="00027832" w:rsidP="00225B86">
            <w:pPr>
              <w:pStyle w:val="Listenabsatz"/>
              <w:numPr>
                <w:ilvl w:val="0"/>
                <w:numId w:val="4"/>
              </w:numPr>
              <w:autoSpaceDE/>
              <w:autoSpaceDN/>
              <w:adjustRightInd/>
              <w:spacing w:before="0"/>
              <w:rPr>
                <w:sz w:val="18"/>
                <w:szCs w:val="18"/>
              </w:rPr>
            </w:pPr>
            <w:r w:rsidRPr="00382DA1">
              <w:rPr>
                <w:sz w:val="18"/>
                <w:szCs w:val="18"/>
              </w:rPr>
              <w:t>SCOT has demonstration (art. Reefs) and research MPAs.</w:t>
            </w:r>
          </w:p>
          <w:p w:rsidR="00027832" w:rsidRDefault="00027832" w:rsidP="00225B86">
            <w:pPr>
              <w:pStyle w:val="Listenabsatz"/>
              <w:numPr>
                <w:ilvl w:val="0"/>
                <w:numId w:val="4"/>
              </w:numPr>
              <w:autoSpaceDE/>
              <w:autoSpaceDN/>
              <w:adjustRightInd/>
              <w:spacing w:before="0"/>
              <w:rPr>
                <w:sz w:val="18"/>
                <w:szCs w:val="18"/>
              </w:rPr>
            </w:pPr>
            <w:r w:rsidRPr="00382DA1">
              <w:rPr>
                <w:sz w:val="18"/>
                <w:szCs w:val="18"/>
              </w:rPr>
              <w:t>Connectivity key in SCOT planning process, in SWE fostered in discussion.</w:t>
            </w:r>
          </w:p>
          <w:p w:rsidR="00027832" w:rsidRPr="00382DA1" w:rsidRDefault="00027832" w:rsidP="00225B86">
            <w:pPr>
              <w:pStyle w:val="Listenabsatz"/>
              <w:numPr>
                <w:ilvl w:val="0"/>
                <w:numId w:val="4"/>
              </w:numPr>
              <w:autoSpaceDE/>
              <w:autoSpaceDN/>
              <w:adjustRightInd/>
              <w:spacing w:before="0"/>
              <w:rPr>
                <w:sz w:val="18"/>
                <w:szCs w:val="18"/>
              </w:rPr>
            </w:pPr>
            <w:r w:rsidRPr="00382DA1">
              <w:rPr>
                <w:sz w:val="18"/>
                <w:szCs w:val="18"/>
              </w:rPr>
              <w:t xml:space="preserve">MPAs in SWE are in coastal regions, in GER in </w:t>
            </w:r>
            <w:r>
              <w:rPr>
                <w:sz w:val="18"/>
                <w:szCs w:val="18"/>
              </w:rPr>
              <w:t xml:space="preserve">TS and </w:t>
            </w:r>
            <w:r w:rsidRPr="00382DA1">
              <w:rPr>
                <w:sz w:val="18"/>
                <w:szCs w:val="18"/>
              </w:rPr>
              <w:t>EEZ.</w:t>
            </w:r>
          </w:p>
        </w:tc>
        <w:tc>
          <w:tcPr>
            <w:tcW w:w="5282" w:type="dxa"/>
          </w:tcPr>
          <w:p w:rsidR="00027832" w:rsidRDefault="00027832" w:rsidP="00225B86">
            <w:pPr>
              <w:pStyle w:val="Listenabsatz"/>
              <w:numPr>
                <w:ilvl w:val="0"/>
                <w:numId w:val="4"/>
              </w:numPr>
              <w:autoSpaceDE/>
              <w:autoSpaceDN/>
              <w:adjustRightInd/>
              <w:spacing w:before="0"/>
              <w:rPr>
                <w:sz w:val="18"/>
                <w:szCs w:val="18"/>
              </w:rPr>
            </w:pPr>
            <w:r w:rsidRPr="00A6026B">
              <w:rPr>
                <w:sz w:val="18"/>
                <w:szCs w:val="18"/>
              </w:rPr>
              <w:t>Define the meaning of fishing limitation zones in environmental report.</w:t>
            </w:r>
          </w:p>
          <w:p w:rsidR="00027832" w:rsidRPr="00A6026B" w:rsidRDefault="00027832" w:rsidP="00225B86">
            <w:pPr>
              <w:pStyle w:val="Listenabsatz"/>
              <w:numPr>
                <w:ilvl w:val="0"/>
                <w:numId w:val="4"/>
              </w:numPr>
              <w:autoSpaceDE/>
              <w:autoSpaceDN/>
              <w:adjustRightInd/>
              <w:spacing w:before="0"/>
              <w:rPr>
                <w:sz w:val="18"/>
                <w:szCs w:val="18"/>
              </w:rPr>
            </w:pPr>
            <w:r w:rsidRPr="00A6026B">
              <w:rPr>
                <w:sz w:val="18"/>
                <w:szCs w:val="18"/>
              </w:rPr>
              <w:t>Better understanding of different demonstration and research MPAs.</w:t>
            </w:r>
          </w:p>
          <w:p w:rsidR="00027832" w:rsidRPr="00A6026B" w:rsidRDefault="00027832" w:rsidP="00225B86">
            <w:pPr>
              <w:pStyle w:val="Listenabsatz"/>
              <w:numPr>
                <w:ilvl w:val="0"/>
                <w:numId w:val="5"/>
              </w:numPr>
              <w:autoSpaceDE/>
              <w:autoSpaceDN/>
              <w:adjustRightInd/>
              <w:spacing w:before="0"/>
              <w:rPr>
                <w:sz w:val="18"/>
                <w:szCs w:val="18"/>
              </w:rPr>
            </w:pPr>
            <w:r w:rsidRPr="00A6026B">
              <w:rPr>
                <w:sz w:val="18"/>
                <w:szCs w:val="18"/>
              </w:rPr>
              <w:t>How is connectivity included in the planning process (from a legislative point of view, as well in practice)</w:t>
            </w:r>
            <w:r>
              <w:rPr>
                <w:sz w:val="18"/>
                <w:szCs w:val="18"/>
              </w:rPr>
              <w:t>?</w:t>
            </w:r>
          </w:p>
        </w:tc>
      </w:tr>
    </w:tbl>
    <w:p w:rsidR="00446ABB" w:rsidRPr="00446ABB" w:rsidRDefault="00446ABB" w:rsidP="00446ABB">
      <w:bookmarkStart w:id="0" w:name="_GoBack"/>
      <w:bookmarkEnd w:id="0"/>
    </w:p>
    <w:sectPr w:rsidR="00446ABB" w:rsidRPr="00446ABB" w:rsidSect="00471650">
      <w:headerReference w:type="default" r:id="rId10"/>
      <w:footerReference w:type="default" r:id="rId11"/>
      <w:pgSz w:w="11907" w:h="16839" w:code="9"/>
      <w:pgMar w:top="1701" w:right="992" w:bottom="1843" w:left="1418" w:header="57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B86" w:rsidRDefault="00225B86" w:rsidP="00BC146D">
      <w:r>
        <w:separator/>
      </w:r>
    </w:p>
  </w:endnote>
  <w:endnote w:type="continuationSeparator" w:id="0">
    <w:p w:rsidR="00225B86" w:rsidRDefault="00225B86" w:rsidP="00BC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oSansLight">
    <w:altName w:val="Calibri"/>
    <w:panose1 w:val="020B0604020202020204"/>
    <w:charset w:val="00"/>
    <w:family w:val="auto"/>
    <w:pitch w:val="variable"/>
    <w:sig w:usb0="00000003" w:usb1="00000000" w:usb2="00000000" w:usb3="00000000" w:csb0="00000001" w:csb1="00000000"/>
  </w:font>
  <w:font w:name="Neo Sans Bold">
    <w:altName w:val="Calibri"/>
    <w:panose1 w:val="020B0604020202020204"/>
    <w:charset w:val="00"/>
    <w:family w:val="swiss"/>
    <w:notTrueType/>
    <w:pitch w:val="default"/>
    <w:sig w:usb0="00000003" w:usb1="00000000" w:usb2="00000000" w:usb3="00000000" w:csb0="00000001" w:csb1="00000000"/>
  </w:font>
  <w:font w:name="NeoSans Bold">
    <w:altName w:val="Calibri"/>
    <w:panose1 w:val="020B0604020202020204"/>
    <w:charset w:val="00"/>
    <w:family w:val="auto"/>
    <w:pitch w:val="variable"/>
    <w:sig w:usb0="A00000AF" w:usb1="4000204A" w:usb2="00000000" w:usb3="00000000" w:csb0="00000191" w:csb1="00000000"/>
  </w:font>
  <w:font w:name="Tahoma">
    <w:panose1 w:val="020B0604030504040204"/>
    <w:charset w:val="00"/>
    <w:family w:val="swiss"/>
    <w:notTrueType/>
    <w:pitch w:val="variable"/>
    <w:sig w:usb0="E1002EFF" w:usb1="C000605B" w:usb2="00000029" w:usb3="00000000" w:csb0="000101FF" w:csb1="00000000"/>
  </w:font>
  <w:font w:name="NeoSans Medium">
    <w:altName w:val="Calibri"/>
    <w:panose1 w:val="020B0604020202020204"/>
    <w:charset w:val="00"/>
    <w:family w:val="auto"/>
    <w:pitch w:val="variable"/>
    <w:sig w:usb0="A00000AF" w:usb1="4000204A" w:usb2="00000000" w:usb3="00000000" w:csb0="00000111" w:csb1="00000000"/>
  </w:font>
  <w:font w:name="Cambria">
    <w:panose1 w:val="02040503050406030204"/>
    <w:charset w:val="00"/>
    <w:family w:val="roman"/>
    <w:pitch w:val="variable"/>
    <w:sig w:usb0="A00002EF" w:usb1="4000004B" w:usb2="00000000" w:usb3="00000000" w:csb0="0000009F" w:csb1="00000000"/>
  </w:font>
  <w:font w:name="ArialMT">
    <w:panose1 w:val="020B0604020202020204"/>
    <w:charset w:val="00"/>
    <w:family w:val="auto"/>
    <w:notTrueType/>
    <w:pitch w:val="default"/>
    <w:sig w:usb0="00000003" w:usb1="00000000" w:usb2="00000000" w:usb3="00000000" w:csb0="00000001" w:csb1="00000000"/>
  </w:font>
  <w:font w:name="SymbolMT">
    <w:panose1 w:val="020B0604020202020204"/>
    <w:charset w:val="00"/>
    <w:family w:val="swiss"/>
    <w:notTrueType/>
    <w:pitch w:val="default"/>
    <w:sig w:usb0="00000003" w:usb1="00000000" w:usb2="00000000" w:usb3="00000000" w:csb0="00000001" w:csb1="00000000"/>
  </w:font>
  <w:font w:name="RijksoverheidSerif">
    <w:altName w:val="RijksoverheidSerif"/>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2F7" w:rsidRDefault="00352674" w:rsidP="00BC146D">
    <w:pPr>
      <w:pStyle w:val="Fuzeile"/>
    </w:pPr>
    <w:r>
      <w:rPr>
        <w:noProof/>
      </w:rPr>
      <w:drawing>
        <wp:anchor distT="0" distB="0" distL="114300" distR="114300" simplePos="0" relativeHeight="251664896" behindDoc="1" locked="0" layoutInCell="1" allowOverlap="1" wp14:anchorId="3EDF882F" wp14:editId="20783730">
          <wp:simplePos x="0" y="0"/>
          <wp:positionH relativeFrom="page">
            <wp:align>left</wp:align>
          </wp:positionH>
          <wp:positionV relativeFrom="page">
            <wp:align>bottom</wp:align>
          </wp:positionV>
          <wp:extent cx="10721520" cy="1576080"/>
          <wp:effectExtent l="0" t="0" r="3810" b="5080"/>
          <wp:wrapNone/>
          <wp:docPr id="52"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Sea_lapa_A4_horizontal_apaksa-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21520" cy="1576080"/>
                  </a:xfrm>
                  <a:prstGeom prst="rect">
                    <a:avLst/>
                  </a:prstGeom>
                </pic:spPr>
              </pic:pic>
            </a:graphicData>
          </a:graphic>
          <wp14:sizeRelH relativeFrom="page">
            <wp14:pctWidth>0</wp14:pctWidth>
          </wp14:sizeRelH>
          <wp14:sizeRelV relativeFrom="page">
            <wp14:pctHeight>0</wp14:pctHeight>
          </wp14:sizeRelV>
        </wp:anchor>
      </w:drawing>
    </w:r>
    <w:r w:rsidR="004972F7">
      <w:rPr>
        <w:noProof/>
      </w:rPr>
      <w:drawing>
        <wp:anchor distT="0" distB="0" distL="114300" distR="114300" simplePos="0" relativeHeight="251663872" behindDoc="1" locked="0" layoutInCell="1" allowOverlap="1" wp14:anchorId="3EE9E42F" wp14:editId="2DE3BE4F">
          <wp:simplePos x="0" y="0"/>
          <wp:positionH relativeFrom="page">
            <wp:posOffset>-36195</wp:posOffset>
          </wp:positionH>
          <wp:positionV relativeFrom="page">
            <wp:posOffset>9368870</wp:posOffset>
          </wp:positionV>
          <wp:extent cx="7558560" cy="1347480"/>
          <wp:effectExtent l="0" t="0" r="0" b="5080"/>
          <wp:wrapNone/>
          <wp:docPr id="53"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tic Lines apaksa vertikal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8560" cy="13474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674" w:rsidRDefault="00352674" w:rsidP="00BC146D">
    <w:pPr>
      <w:pStyle w:val="Fuzeile"/>
    </w:pPr>
    <w:r>
      <w:rPr>
        <w:noProof/>
      </w:rPr>
      <w:drawing>
        <wp:anchor distT="0" distB="0" distL="114300" distR="114300" simplePos="0" relativeHeight="251668480" behindDoc="1" locked="0" layoutInCell="1" allowOverlap="1" wp14:anchorId="0184172E" wp14:editId="4379FBCE">
          <wp:simplePos x="0" y="0"/>
          <wp:positionH relativeFrom="page">
            <wp:posOffset>-29497</wp:posOffset>
          </wp:positionH>
          <wp:positionV relativeFrom="page">
            <wp:posOffset>9365401</wp:posOffset>
          </wp:positionV>
          <wp:extent cx="7558560" cy="1347130"/>
          <wp:effectExtent l="0" t="0" r="0" b="5715"/>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tic Lines apaksa vertikal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560" cy="13471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B86" w:rsidRDefault="00225B86" w:rsidP="00BC146D">
      <w:r>
        <w:separator/>
      </w:r>
    </w:p>
  </w:footnote>
  <w:footnote w:type="continuationSeparator" w:id="0">
    <w:p w:rsidR="00225B86" w:rsidRDefault="00225B86" w:rsidP="00BC1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2F7" w:rsidRPr="00F92DE1" w:rsidRDefault="004972F7" w:rsidP="00BC146D">
    <w:pPr>
      <w:pStyle w:val="Kopfzeile"/>
      <w:spacing w:before="0"/>
      <w:jc w:val="right"/>
    </w:pPr>
    <w:r>
      <w:rPr>
        <w:noProof/>
      </w:rPr>
      <w:drawing>
        <wp:anchor distT="0" distB="0" distL="114300" distR="114300" simplePos="0" relativeHeight="251651584" behindDoc="1" locked="0" layoutInCell="1" allowOverlap="1" wp14:anchorId="586402FD" wp14:editId="0FD37942">
          <wp:simplePos x="0" y="0"/>
          <wp:positionH relativeFrom="page">
            <wp:align>left</wp:align>
          </wp:positionH>
          <wp:positionV relativeFrom="page">
            <wp:align>top</wp:align>
          </wp:positionV>
          <wp:extent cx="10725120" cy="833040"/>
          <wp:effectExtent l="0" t="0" r="635" b="5715"/>
          <wp:wrapNone/>
          <wp:docPr id="51"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tic Lines (lapa vertikali.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25120" cy="83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674" w:rsidRPr="00F92DE1" w:rsidRDefault="00C9738F" w:rsidP="004225D8">
    <w:pPr>
      <w:pStyle w:val="Kopfzeile"/>
      <w:spacing w:before="0"/>
      <w:jc w:val="center"/>
    </w:pPr>
    <w:r>
      <w:rPr>
        <w:noProof/>
      </w:rPr>
      <w:drawing>
        <wp:anchor distT="0" distB="0" distL="114300" distR="114300" simplePos="0" relativeHeight="251660288" behindDoc="1" locked="0" layoutInCell="1" allowOverlap="1" wp14:anchorId="6551DC98" wp14:editId="1088AFFA">
          <wp:simplePos x="0" y="0"/>
          <wp:positionH relativeFrom="page">
            <wp:posOffset>4445</wp:posOffset>
          </wp:positionH>
          <wp:positionV relativeFrom="page">
            <wp:posOffset>4445</wp:posOffset>
          </wp:positionV>
          <wp:extent cx="7559640" cy="751680"/>
          <wp:effectExtent l="0" t="0" r="381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tic Lines (lapa vertikali.png"/>
                  <pic:cNvPicPr/>
                </pic:nvPicPr>
                <pic:blipFill rotWithShape="1">
                  <a:blip r:embed="rId1" cstate="print">
                    <a:extLst>
                      <a:ext uri="{28A0092B-C50C-407E-A947-70E740481C1C}">
                        <a14:useLocalDpi xmlns:a14="http://schemas.microsoft.com/office/drawing/2010/main" val="0"/>
                      </a:ext>
                    </a:extLst>
                  </a:blip>
                  <a:srcRect l="-3836"/>
                  <a:stretch/>
                </pic:blipFill>
                <pic:spPr bwMode="auto">
                  <a:xfrm>
                    <a:off x="0" y="0"/>
                    <a:ext cx="7559640" cy="751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937475360"/>
        <w:docPartObj>
          <w:docPartGallery w:val="Page Numbers (Top of Page)"/>
          <w:docPartUnique/>
        </w:docPartObj>
      </w:sdtPr>
      <w:sdtEndPr>
        <w:rPr>
          <w:noProof/>
        </w:r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9.15pt;height:9.15pt" o:bullet="t">
        <v:imagedata r:id="rId1" o:title="KVADRATINS"/>
      </v:shape>
    </w:pict>
  </w:numPicBullet>
  <w:abstractNum w:abstractNumId="0" w15:restartNumberingAfterBreak="0">
    <w:nsid w:val="1A097C69"/>
    <w:multiLevelType w:val="hybridMultilevel"/>
    <w:tmpl w:val="19BEF8EA"/>
    <w:lvl w:ilvl="0" w:tplc="04070001">
      <w:start w:val="1"/>
      <w:numFmt w:val="bullet"/>
      <w:lvlText w:val=""/>
      <w:lvlJc w:val="left"/>
      <w:pPr>
        <w:ind w:left="720" w:hanging="360"/>
      </w:pPr>
      <w:rPr>
        <w:rFonts w:ascii="Symbol" w:hAnsi="Symbol" w:hint="default"/>
      </w:rPr>
    </w:lvl>
    <w:lvl w:ilvl="1" w:tplc="C046D38C">
      <w:numFmt w:val="bullet"/>
      <w:lvlText w:val="•"/>
      <w:lvlJc w:val="left"/>
      <w:pPr>
        <w:ind w:left="1785" w:hanging="705"/>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C20E7C"/>
    <w:multiLevelType w:val="hybridMultilevel"/>
    <w:tmpl w:val="FC669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3A66AB"/>
    <w:multiLevelType w:val="multilevel"/>
    <w:tmpl w:val="9B0EEBB8"/>
    <w:styleLink w:val="Style1"/>
    <w:lvl w:ilvl="0">
      <w:start w:val="1"/>
      <w:numFmt w:val="bullet"/>
      <w:lvlText w:val=""/>
      <w:lvlPicBulletId w:val="0"/>
      <w:lvlJc w:val="left"/>
      <w:pPr>
        <w:ind w:left="720" w:hanging="360"/>
      </w:pPr>
      <w:rPr>
        <w:rFonts w:ascii="Symbol" w:hAnsi="Symbol" w:hint="default"/>
        <w:color w:val="auto"/>
        <w:u w:color="8DB3E2" w:themeColor="text2" w:themeTint="66"/>
      </w:rPr>
    </w:lvl>
    <w:lvl w:ilvl="1">
      <w:start w:val="1"/>
      <w:numFmt w:val="bullet"/>
      <w:lvlText w:val=""/>
      <w:lvlJc w:val="left"/>
      <w:pPr>
        <w:ind w:left="1077" w:hanging="368"/>
      </w:pPr>
      <w:rPr>
        <w:rFonts w:ascii="Wingdings" w:hAnsi="Wingdings" w:hint="default"/>
        <w:color w:val="89A379"/>
      </w:rPr>
    </w:lvl>
    <w:lvl w:ilvl="2">
      <w:start w:val="1"/>
      <w:numFmt w:val="bullet"/>
      <w:lvlText w:val=""/>
      <w:lvlJc w:val="left"/>
      <w:pPr>
        <w:ind w:left="1503" w:hanging="369"/>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ADF1131"/>
    <w:multiLevelType w:val="hybridMultilevel"/>
    <w:tmpl w:val="7D3E2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794E77"/>
    <w:multiLevelType w:val="multilevel"/>
    <w:tmpl w:val="9B0EEBB8"/>
    <w:lvl w:ilvl="0">
      <w:start w:val="1"/>
      <w:numFmt w:val="bullet"/>
      <w:pStyle w:val="Listenabsatz"/>
      <w:lvlText w:val=""/>
      <w:lvlPicBulletId w:val="0"/>
      <w:lvlJc w:val="left"/>
      <w:pPr>
        <w:ind w:left="720" w:hanging="360"/>
      </w:pPr>
      <w:rPr>
        <w:rFonts w:ascii="Symbol" w:hAnsi="Symbol" w:hint="default"/>
        <w:color w:val="auto"/>
        <w:u w:color="8DB3E2" w:themeColor="text2" w:themeTint="66"/>
      </w:rPr>
    </w:lvl>
    <w:lvl w:ilvl="1">
      <w:start w:val="1"/>
      <w:numFmt w:val="bullet"/>
      <w:lvlText w:val=""/>
      <w:lvlJc w:val="left"/>
      <w:pPr>
        <w:ind w:left="1077" w:hanging="368"/>
      </w:pPr>
      <w:rPr>
        <w:rFonts w:ascii="Wingdings" w:hAnsi="Wingdings" w:hint="default"/>
        <w:color w:val="627B8E"/>
      </w:rPr>
    </w:lvl>
    <w:lvl w:ilvl="2">
      <w:start w:val="1"/>
      <w:numFmt w:val="bullet"/>
      <w:lvlText w:val=""/>
      <w:lvlJc w:val="left"/>
      <w:pPr>
        <w:ind w:left="1503" w:hanging="369"/>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embedSystemFont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D8"/>
    <w:rsid w:val="00013111"/>
    <w:rsid w:val="00027832"/>
    <w:rsid w:val="00035251"/>
    <w:rsid w:val="000D5E41"/>
    <w:rsid w:val="000E02DF"/>
    <w:rsid w:val="001066E6"/>
    <w:rsid w:val="00194DB8"/>
    <w:rsid w:val="001B1669"/>
    <w:rsid w:val="001E63A2"/>
    <w:rsid w:val="001E7621"/>
    <w:rsid w:val="00225B86"/>
    <w:rsid w:val="00262AC7"/>
    <w:rsid w:val="002828DE"/>
    <w:rsid w:val="00300E67"/>
    <w:rsid w:val="00347499"/>
    <w:rsid w:val="00352674"/>
    <w:rsid w:val="00380C20"/>
    <w:rsid w:val="003B3B15"/>
    <w:rsid w:val="003B3FA5"/>
    <w:rsid w:val="004030D9"/>
    <w:rsid w:val="004149BE"/>
    <w:rsid w:val="004225D8"/>
    <w:rsid w:val="00446ABB"/>
    <w:rsid w:val="00450C3F"/>
    <w:rsid w:val="00471650"/>
    <w:rsid w:val="004972F7"/>
    <w:rsid w:val="004A5A30"/>
    <w:rsid w:val="004C2AC0"/>
    <w:rsid w:val="0050402B"/>
    <w:rsid w:val="00521E9F"/>
    <w:rsid w:val="00540365"/>
    <w:rsid w:val="00556CD9"/>
    <w:rsid w:val="005573C1"/>
    <w:rsid w:val="00564FDD"/>
    <w:rsid w:val="00586290"/>
    <w:rsid w:val="005A35C6"/>
    <w:rsid w:val="005E6212"/>
    <w:rsid w:val="00602171"/>
    <w:rsid w:val="0066733D"/>
    <w:rsid w:val="00684B69"/>
    <w:rsid w:val="006A1B50"/>
    <w:rsid w:val="006B7376"/>
    <w:rsid w:val="007358D6"/>
    <w:rsid w:val="007759ED"/>
    <w:rsid w:val="007E56C5"/>
    <w:rsid w:val="0086130D"/>
    <w:rsid w:val="009055EA"/>
    <w:rsid w:val="00954FD8"/>
    <w:rsid w:val="009E0BAB"/>
    <w:rsid w:val="00A30A6C"/>
    <w:rsid w:val="00A34793"/>
    <w:rsid w:val="00A71046"/>
    <w:rsid w:val="00AE273C"/>
    <w:rsid w:val="00B56211"/>
    <w:rsid w:val="00B91CC4"/>
    <w:rsid w:val="00BA0EFD"/>
    <w:rsid w:val="00BC146D"/>
    <w:rsid w:val="00C46159"/>
    <w:rsid w:val="00C75772"/>
    <w:rsid w:val="00C81676"/>
    <w:rsid w:val="00C9738F"/>
    <w:rsid w:val="00CD3084"/>
    <w:rsid w:val="00D2176E"/>
    <w:rsid w:val="00D34A33"/>
    <w:rsid w:val="00D9145A"/>
    <w:rsid w:val="00D9410E"/>
    <w:rsid w:val="00E03BAC"/>
    <w:rsid w:val="00E21C24"/>
    <w:rsid w:val="00E5343B"/>
    <w:rsid w:val="00F14DEF"/>
    <w:rsid w:val="00F32ECA"/>
    <w:rsid w:val="00F92DE1"/>
    <w:rsid w:val="00F9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521DB"/>
  <w15:docId w15:val="{0ED708D0-27E6-4E49-9741-2BCD9A9C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055EA"/>
    <w:pPr>
      <w:autoSpaceDE w:val="0"/>
      <w:autoSpaceDN w:val="0"/>
      <w:adjustRightInd w:val="0"/>
      <w:spacing w:before="200"/>
    </w:pPr>
    <w:rPr>
      <w:rFonts w:cs="NeoSansLight"/>
    </w:rPr>
  </w:style>
  <w:style w:type="paragraph" w:styleId="berschrift1">
    <w:name w:val="heading 1"/>
    <w:basedOn w:val="Pa3"/>
    <w:next w:val="Standard"/>
    <w:link w:val="berschrift1Zchn"/>
    <w:uiPriority w:val="9"/>
    <w:qFormat/>
    <w:rsid w:val="00D2176E"/>
    <w:pPr>
      <w:spacing w:before="120" w:after="120" w:line="276" w:lineRule="auto"/>
      <w:outlineLvl w:val="0"/>
    </w:pPr>
    <w:rPr>
      <w:rFonts w:ascii="Calibri" w:hAnsi="Calibri"/>
      <w:b/>
      <w:color w:val="4B4F54"/>
      <w:sz w:val="48"/>
    </w:rPr>
  </w:style>
  <w:style w:type="paragraph" w:styleId="berschrift2">
    <w:name w:val="heading 2"/>
    <w:basedOn w:val="Default"/>
    <w:next w:val="Standard"/>
    <w:link w:val="berschrift2Zchn"/>
    <w:uiPriority w:val="9"/>
    <w:unhideWhenUsed/>
    <w:qFormat/>
    <w:rsid w:val="00D2176E"/>
    <w:pPr>
      <w:spacing w:before="200" w:after="200" w:line="241" w:lineRule="atLeast"/>
      <w:outlineLvl w:val="1"/>
    </w:pPr>
    <w:rPr>
      <w:rFonts w:asciiTheme="minorHAnsi" w:hAnsiTheme="minorHAnsi" w:cs="Neo Sans Bold"/>
      <w:b/>
      <w:bCs/>
      <w:color w:val="auto"/>
      <w:sz w:val="32"/>
      <w:szCs w:val="28"/>
    </w:rPr>
  </w:style>
  <w:style w:type="paragraph" w:styleId="berschrift3">
    <w:name w:val="heading 3"/>
    <w:basedOn w:val="Pa1"/>
    <w:next w:val="Standard"/>
    <w:link w:val="berschrift3Zchn"/>
    <w:uiPriority w:val="9"/>
    <w:unhideWhenUsed/>
    <w:qFormat/>
    <w:rsid w:val="00471650"/>
    <w:pPr>
      <w:spacing w:before="200" w:after="200" w:line="220" w:lineRule="atLeast"/>
      <w:outlineLvl w:val="2"/>
    </w:pPr>
    <w:rPr>
      <w:rFonts w:ascii="Calibri" w:hAnsi="Calibri" w:cs="NeoSans Bold"/>
      <w:b/>
      <w:bCs/>
      <w:color w:val="89A379"/>
      <w:sz w:val="28"/>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3BAC"/>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03BAC"/>
    <w:rPr>
      <w:lang w:val="lv-LV"/>
    </w:rPr>
  </w:style>
  <w:style w:type="paragraph" w:styleId="Fuzeile">
    <w:name w:val="footer"/>
    <w:basedOn w:val="Standard"/>
    <w:link w:val="FuzeileZchn"/>
    <w:uiPriority w:val="99"/>
    <w:unhideWhenUsed/>
    <w:rsid w:val="00E03BAC"/>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03BAC"/>
    <w:rPr>
      <w:lang w:val="lv-LV"/>
    </w:rPr>
  </w:style>
  <w:style w:type="paragraph" w:styleId="Sprechblasentext">
    <w:name w:val="Balloon Text"/>
    <w:basedOn w:val="Standard"/>
    <w:link w:val="SprechblasentextZchn"/>
    <w:uiPriority w:val="99"/>
    <w:semiHidden/>
    <w:unhideWhenUsed/>
    <w:rsid w:val="00E03B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3BAC"/>
    <w:rPr>
      <w:rFonts w:ascii="Tahoma" w:hAnsi="Tahoma" w:cs="Tahoma"/>
      <w:sz w:val="16"/>
      <w:szCs w:val="16"/>
      <w:lang w:val="lv-LV"/>
    </w:rPr>
  </w:style>
  <w:style w:type="paragraph" w:customStyle="1" w:styleId="Default">
    <w:name w:val="Default"/>
    <w:rsid w:val="005A35C6"/>
    <w:pPr>
      <w:autoSpaceDE w:val="0"/>
      <w:autoSpaceDN w:val="0"/>
      <w:adjustRightInd w:val="0"/>
      <w:spacing w:after="0" w:line="240" w:lineRule="auto"/>
    </w:pPr>
    <w:rPr>
      <w:rFonts w:ascii="NeoSans Medium" w:hAnsi="NeoSans Medium" w:cs="NeoSans Medium"/>
      <w:color w:val="000000"/>
      <w:sz w:val="24"/>
      <w:szCs w:val="24"/>
    </w:rPr>
  </w:style>
  <w:style w:type="paragraph" w:customStyle="1" w:styleId="Pa1">
    <w:name w:val="Pa1"/>
    <w:basedOn w:val="Default"/>
    <w:next w:val="Default"/>
    <w:uiPriority w:val="99"/>
    <w:rsid w:val="005A35C6"/>
    <w:pPr>
      <w:spacing w:line="221" w:lineRule="atLeast"/>
    </w:pPr>
    <w:rPr>
      <w:rFonts w:cstheme="minorBidi"/>
      <w:color w:val="auto"/>
    </w:rPr>
  </w:style>
  <w:style w:type="paragraph" w:customStyle="1" w:styleId="Pa3">
    <w:name w:val="Pa3"/>
    <w:basedOn w:val="Default"/>
    <w:next w:val="Default"/>
    <w:uiPriority w:val="99"/>
    <w:rsid w:val="001E63A2"/>
    <w:pPr>
      <w:spacing w:line="221" w:lineRule="atLeast"/>
    </w:pPr>
    <w:rPr>
      <w:rFonts w:cstheme="minorBidi"/>
      <w:color w:val="auto"/>
    </w:rPr>
  </w:style>
  <w:style w:type="character" w:customStyle="1" w:styleId="A6">
    <w:name w:val="A6"/>
    <w:uiPriority w:val="99"/>
    <w:rsid w:val="001E63A2"/>
    <w:rPr>
      <w:rFonts w:cs="NeoSans Medium"/>
      <w:color w:val="000000"/>
      <w:sz w:val="46"/>
      <w:szCs w:val="46"/>
    </w:rPr>
  </w:style>
  <w:style w:type="paragraph" w:customStyle="1" w:styleId="Pa4">
    <w:name w:val="Pa4"/>
    <w:basedOn w:val="Default"/>
    <w:next w:val="Default"/>
    <w:uiPriority w:val="99"/>
    <w:rsid w:val="001E63A2"/>
    <w:pPr>
      <w:spacing w:line="221" w:lineRule="atLeast"/>
    </w:pPr>
    <w:rPr>
      <w:rFonts w:cstheme="minorBidi"/>
      <w:color w:val="auto"/>
    </w:rPr>
  </w:style>
  <w:style w:type="character" w:customStyle="1" w:styleId="berschrift1Zchn">
    <w:name w:val="Überschrift 1 Zchn"/>
    <w:basedOn w:val="Absatz-Standardschriftart"/>
    <w:link w:val="berschrift1"/>
    <w:uiPriority w:val="9"/>
    <w:rsid w:val="00D2176E"/>
    <w:rPr>
      <w:rFonts w:ascii="Calibri" w:hAnsi="Calibri"/>
      <w:b/>
      <w:color w:val="4B4F54"/>
      <w:sz w:val="48"/>
      <w:szCs w:val="24"/>
    </w:rPr>
  </w:style>
  <w:style w:type="character" w:customStyle="1" w:styleId="berschrift2Zchn">
    <w:name w:val="Überschrift 2 Zchn"/>
    <w:basedOn w:val="Absatz-Standardschriftart"/>
    <w:link w:val="berschrift2"/>
    <w:uiPriority w:val="9"/>
    <w:rsid w:val="00D2176E"/>
    <w:rPr>
      <w:rFonts w:cs="Neo Sans Bold"/>
      <w:b/>
      <w:bCs/>
      <w:sz w:val="32"/>
      <w:szCs w:val="28"/>
    </w:rPr>
  </w:style>
  <w:style w:type="paragraph" w:customStyle="1" w:styleId="Pa10">
    <w:name w:val="Pa10"/>
    <w:basedOn w:val="Default"/>
    <w:next w:val="Default"/>
    <w:uiPriority w:val="99"/>
    <w:rsid w:val="001E7621"/>
    <w:pPr>
      <w:spacing w:line="241" w:lineRule="atLeast"/>
    </w:pPr>
    <w:rPr>
      <w:rFonts w:cstheme="minorBidi"/>
      <w:color w:val="auto"/>
    </w:rPr>
  </w:style>
  <w:style w:type="character" w:customStyle="1" w:styleId="A1">
    <w:name w:val="A1"/>
    <w:uiPriority w:val="99"/>
    <w:rsid w:val="00C46159"/>
    <w:rPr>
      <w:rFonts w:cs="NeoSans Medium"/>
      <w:color w:val="000000"/>
      <w:sz w:val="46"/>
      <w:szCs w:val="46"/>
    </w:rPr>
  </w:style>
  <w:style w:type="paragraph" w:customStyle="1" w:styleId="Pa5">
    <w:name w:val="Pa5"/>
    <w:basedOn w:val="Default"/>
    <w:next w:val="Default"/>
    <w:uiPriority w:val="99"/>
    <w:rsid w:val="00C46159"/>
    <w:pPr>
      <w:spacing w:line="221" w:lineRule="atLeast"/>
    </w:pPr>
    <w:rPr>
      <w:rFonts w:cstheme="minorBidi"/>
      <w:color w:val="auto"/>
    </w:rPr>
  </w:style>
  <w:style w:type="paragraph" w:customStyle="1" w:styleId="Pa6">
    <w:name w:val="Pa6"/>
    <w:basedOn w:val="Default"/>
    <w:next w:val="Default"/>
    <w:uiPriority w:val="99"/>
    <w:rsid w:val="00C46159"/>
    <w:pPr>
      <w:spacing w:line="221" w:lineRule="atLeast"/>
    </w:pPr>
    <w:rPr>
      <w:rFonts w:cstheme="minorBidi"/>
      <w:color w:val="auto"/>
    </w:rPr>
  </w:style>
  <w:style w:type="character" w:customStyle="1" w:styleId="berschrift3Zchn">
    <w:name w:val="Überschrift 3 Zchn"/>
    <w:basedOn w:val="Absatz-Standardschriftart"/>
    <w:link w:val="berschrift3"/>
    <w:uiPriority w:val="9"/>
    <w:rsid w:val="00471650"/>
    <w:rPr>
      <w:rFonts w:ascii="Calibri" w:hAnsi="Calibri" w:cs="NeoSans Bold"/>
      <w:b/>
      <w:bCs/>
      <w:color w:val="89A379"/>
      <w:sz w:val="28"/>
      <w:szCs w:val="23"/>
    </w:rPr>
  </w:style>
  <w:style w:type="paragraph" w:styleId="Titel">
    <w:name w:val="Title"/>
    <w:basedOn w:val="Pa1"/>
    <w:next w:val="Standard"/>
    <w:link w:val="TitelZchn"/>
    <w:uiPriority w:val="10"/>
    <w:qFormat/>
    <w:rsid w:val="00D2176E"/>
    <w:pPr>
      <w:spacing w:line="360" w:lineRule="auto"/>
      <w:jc w:val="right"/>
    </w:pPr>
    <w:rPr>
      <w:rFonts w:ascii="Calibri" w:hAnsi="Calibri"/>
      <w:b/>
      <w:sz w:val="60"/>
      <w:szCs w:val="58"/>
    </w:rPr>
  </w:style>
  <w:style w:type="character" w:customStyle="1" w:styleId="TitelZchn">
    <w:name w:val="Titel Zchn"/>
    <w:basedOn w:val="Absatz-Standardschriftart"/>
    <w:link w:val="Titel"/>
    <w:uiPriority w:val="10"/>
    <w:rsid w:val="00D2176E"/>
    <w:rPr>
      <w:rFonts w:ascii="Calibri" w:hAnsi="Calibri"/>
      <w:b/>
      <w:sz w:val="60"/>
      <w:szCs w:val="58"/>
    </w:rPr>
  </w:style>
  <w:style w:type="paragraph" w:styleId="Listenabsatz">
    <w:name w:val="List Paragraph"/>
    <w:basedOn w:val="Standard"/>
    <w:uiPriority w:val="34"/>
    <w:qFormat/>
    <w:rsid w:val="007759ED"/>
    <w:pPr>
      <w:numPr>
        <w:numId w:val="1"/>
      </w:numPr>
      <w:contextualSpacing/>
    </w:pPr>
  </w:style>
  <w:style w:type="character" w:customStyle="1" w:styleId="A5">
    <w:name w:val="A5"/>
    <w:uiPriority w:val="99"/>
    <w:rsid w:val="00194DB8"/>
    <w:rPr>
      <w:rFonts w:ascii="NeoSansLight" w:hAnsi="NeoSansLight" w:cs="NeoSansLight"/>
      <w:color w:val="000000"/>
      <w:sz w:val="18"/>
      <w:szCs w:val="18"/>
    </w:rPr>
  </w:style>
  <w:style w:type="paragraph" w:customStyle="1" w:styleId="Pa9">
    <w:name w:val="Pa9"/>
    <w:basedOn w:val="Default"/>
    <w:next w:val="Default"/>
    <w:uiPriority w:val="99"/>
    <w:rsid w:val="00450C3F"/>
    <w:pPr>
      <w:spacing w:line="221" w:lineRule="atLeast"/>
    </w:pPr>
    <w:rPr>
      <w:rFonts w:ascii="NeoSansLight" w:hAnsi="NeoSansLight" w:cstheme="minorBidi"/>
      <w:color w:val="auto"/>
    </w:rPr>
  </w:style>
  <w:style w:type="paragraph" w:customStyle="1" w:styleId="Pa11">
    <w:name w:val="Pa11"/>
    <w:basedOn w:val="Default"/>
    <w:next w:val="Default"/>
    <w:uiPriority w:val="99"/>
    <w:rsid w:val="00450C3F"/>
    <w:pPr>
      <w:spacing w:line="221" w:lineRule="atLeast"/>
    </w:pPr>
    <w:rPr>
      <w:rFonts w:ascii="NeoSansLight" w:hAnsi="NeoSansLight" w:cstheme="minorBidi"/>
      <w:color w:val="auto"/>
    </w:rPr>
  </w:style>
  <w:style w:type="paragraph" w:styleId="Untertitel">
    <w:name w:val="Subtitle"/>
    <w:basedOn w:val="Standard"/>
    <w:next w:val="Standard"/>
    <w:link w:val="UntertitelZchn"/>
    <w:uiPriority w:val="11"/>
    <w:qFormat/>
    <w:rsid w:val="00D2176E"/>
    <w:pPr>
      <w:numPr>
        <w:ilvl w:val="1"/>
      </w:numPr>
    </w:pPr>
    <w:rPr>
      <w:rFonts w:ascii="Calibri" w:eastAsiaTheme="majorEastAsia" w:hAnsi="Calibri" w:cstheme="majorBidi"/>
      <w:b/>
      <w:i/>
      <w:iCs/>
      <w:color w:val="627B8E"/>
      <w:spacing w:val="15"/>
      <w:sz w:val="26"/>
      <w:szCs w:val="24"/>
    </w:rPr>
  </w:style>
  <w:style w:type="character" w:customStyle="1" w:styleId="UntertitelZchn">
    <w:name w:val="Untertitel Zchn"/>
    <w:basedOn w:val="Absatz-Standardschriftart"/>
    <w:link w:val="Untertitel"/>
    <w:uiPriority w:val="11"/>
    <w:rsid w:val="00D2176E"/>
    <w:rPr>
      <w:rFonts w:ascii="Calibri" w:eastAsiaTheme="majorEastAsia" w:hAnsi="Calibri" w:cstheme="majorBidi"/>
      <w:b/>
      <w:i/>
      <w:iCs/>
      <w:color w:val="627B8E"/>
      <w:spacing w:val="15"/>
      <w:sz w:val="26"/>
      <w:szCs w:val="24"/>
    </w:rPr>
  </w:style>
  <w:style w:type="table" w:styleId="Tabellenraster">
    <w:name w:val="Table Grid"/>
    <w:basedOn w:val="NormaleTabelle"/>
    <w:uiPriority w:val="59"/>
    <w:rsid w:val="0044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Default"/>
    <w:next w:val="Default"/>
    <w:uiPriority w:val="99"/>
    <w:rsid w:val="00446ABB"/>
    <w:pPr>
      <w:spacing w:line="241" w:lineRule="atLeast"/>
    </w:pPr>
    <w:rPr>
      <w:rFonts w:cstheme="minorBidi"/>
      <w:color w:val="auto"/>
    </w:rPr>
  </w:style>
  <w:style w:type="paragraph" w:customStyle="1" w:styleId="Pa21">
    <w:name w:val="Pa21"/>
    <w:basedOn w:val="Default"/>
    <w:next w:val="Default"/>
    <w:uiPriority w:val="99"/>
    <w:rsid w:val="00013111"/>
    <w:pPr>
      <w:spacing w:line="221" w:lineRule="atLeast"/>
    </w:pPr>
    <w:rPr>
      <w:rFonts w:ascii="NeoSansLight" w:hAnsi="NeoSansLight" w:cstheme="minorBidi"/>
      <w:color w:val="auto"/>
    </w:rPr>
  </w:style>
  <w:style w:type="paragraph" w:customStyle="1" w:styleId="Pa12">
    <w:name w:val="Pa12"/>
    <w:basedOn w:val="Default"/>
    <w:next w:val="Default"/>
    <w:uiPriority w:val="99"/>
    <w:rsid w:val="00013111"/>
    <w:pPr>
      <w:spacing w:line="221" w:lineRule="atLeast"/>
    </w:pPr>
    <w:rPr>
      <w:rFonts w:ascii="NeoSansLight" w:hAnsi="NeoSansLight" w:cstheme="minorBidi"/>
      <w:color w:val="auto"/>
    </w:rPr>
  </w:style>
  <w:style w:type="paragraph" w:customStyle="1" w:styleId="Pa13">
    <w:name w:val="Pa13"/>
    <w:basedOn w:val="Default"/>
    <w:next w:val="Default"/>
    <w:uiPriority w:val="99"/>
    <w:rsid w:val="00013111"/>
    <w:pPr>
      <w:spacing w:line="221" w:lineRule="atLeast"/>
    </w:pPr>
    <w:rPr>
      <w:rFonts w:ascii="NeoSansLight" w:hAnsi="NeoSansLight" w:cstheme="minorBidi"/>
      <w:color w:val="auto"/>
    </w:rPr>
  </w:style>
  <w:style w:type="paragraph" w:customStyle="1" w:styleId="Pa22">
    <w:name w:val="Pa22"/>
    <w:basedOn w:val="Default"/>
    <w:next w:val="Default"/>
    <w:uiPriority w:val="99"/>
    <w:rsid w:val="007358D6"/>
    <w:pPr>
      <w:spacing w:line="221" w:lineRule="atLeast"/>
    </w:pPr>
    <w:rPr>
      <w:rFonts w:ascii="NeoSansLight" w:hAnsi="NeoSansLight" w:cstheme="minorBidi"/>
      <w:color w:val="auto"/>
    </w:rPr>
  </w:style>
  <w:style w:type="table" w:customStyle="1" w:styleId="BalticLINes">
    <w:name w:val="Baltic LINes"/>
    <w:basedOn w:val="NormaleTabelle"/>
    <w:uiPriority w:val="99"/>
    <w:rsid w:val="004149BE"/>
    <w:pPr>
      <w:spacing w:after="0" w:line="240" w:lineRule="auto"/>
    </w:pPr>
    <w:tblPr>
      <w:tblBorders>
        <w:top w:val="single" w:sz="36" w:space="0" w:color="91ABB9"/>
        <w:bottom w:val="single" w:sz="36" w:space="0" w:color="91ABB9"/>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9E0BAB"/>
    <w:pPr>
      <w:keepNext/>
      <w:keepLines/>
      <w:autoSpaceDE/>
      <w:autoSpaceDN/>
      <w:adjustRightInd/>
      <w:spacing w:before="480" w:after="0"/>
      <w:outlineLvl w:val="9"/>
    </w:pPr>
    <w:rPr>
      <w:rFonts w:asciiTheme="majorHAnsi" w:eastAsiaTheme="majorEastAsia" w:hAnsiTheme="majorHAnsi" w:cstheme="majorBidi"/>
      <w:b w:val="0"/>
      <w:bCs/>
      <w:color w:val="365F91" w:themeColor="accent1" w:themeShade="BF"/>
      <w:sz w:val="28"/>
      <w:szCs w:val="28"/>
      <w:lang w:eastAsia="ja-JP"/>
    </w:rPr>
  </w:style>
  <w:style w:type="paragraph" w:styleId="Verzeichnis1">
    <w:name w:val="toc 1"/>
    <w:basedOn w:val="Standard"/>
    <w:next w:val="Standard"/>
    <w:autoRedefine/>
    <w:uiPriority w:val="39"/>
    <w:unhideWhenUsed/>
    <w:rsid w:val="009E0BAB"/>
    <w:pPr>
      <w:spacing w:after="100"/>
    </w:pPr>
  </w:style>
  <w:style w:type="paragraph" w:styleId="Verzeichnis2">
    <w:name w:val="toc 2"/>
    <w:basedOn w:val="Standard"/>
    <w:next w:val="Standard"/>
    <w:autoRedefine/>
    <w:uiPriority w:val="39"/>
    <w:unhideWhenUsed/>
    <w:rsid w:val="009E0BAB"/>
    <w:pPr>
      <w:spacing w:after="100"/>
      <w:ind w:left="220"/>
    </w:pPr>
  </w:style>
  <w:style w:type="paragraph" w:styleId="Verzeichnis3">
    <w:name w:val="toc 3"/>
    <w:basedOn w:val="Standard"/>
    <w:next w:val="Standard"/>
    <w:autoRedefine/>
    <w:uiPriority w:val="39"/>
    <w:unhideWhenUsed/>
    <w:rsid w:val="009E0BAB"/>
    <w:pPr>
      <w:spacing w:after="100"/>
      <w:ind w:left="440"/>
    </w:pPr>
  </w:style>
  <w:style w:type="character" w:styleId="Hyperlink">
    <w:name w:val="Hyperlink"/>
    <w:basedOn w:val="Absatz-Standardschriftart"/>
    <w:uiPriority w:val="99"/>
    <w:unhideWhenUsed/>
    <w:rsid w:val="009E0BAB"/>
    <w:rPr>
      <w:color w:val="0000FF" w:themeColor="hyperlink"/>
      <w:u w:val="single"/>
    </w:rPr>
  </w:style>
  <w:style w:type="paragraph" w:styleId="KeinLeerraum">
    <w:name w:val="No Spacing"/>
    <w:uiPriority w:val="1"/>
    <w:qFormat/>
    <w:rsid w:val="00D2176E"/>
    <w:pPr>
      <w:autoSpaceDE w:val="0"/>
      <w:autoSpaceDN w:val="0"/>
      <w:adjustRightInd w:val="0"/>
      <w:spacing w:after="0" w:line="240" w:lineRule="auto"/>
    </w:pPr>
    <w:rPr>
      <w:rFonts w:cs="NeoSansLight"/>
    </w:rPr>
  </w:style>
  <w:style w:type="character" w:styleId="IntensiveHervorhebung">
    <w:name w:val="Intense Emphasis"/>
    <w:basedOn w:val="Absatz-Standardschriftart"/>
    <w:uiPriority w:val="21"/>
    <w:qFormat/>
    <w:rsid w:val="00D2176E"/>
    <w:rPr>
      <w:b/>
      <w:bCs/>
      <w:i/>
      <w:iCs/>
      <w:color w:val="4F81BD" w:themeColor="accent1"/>
    </w:rPr>
  </w:style>
  <w:style w:type="numbering" w:customStyle="1" w:styleId="Style1">
    <w:name w:val="Style1"/>
    <w:uiPriority w:val="99"/>
    <w:rsid w:val="00262AC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MyBook/02_Laufende_Projekte/Baltic%20LINes%20and%20NorthSEE/NorthSEE/Communication/Templates%20for%20word%20pptx%20etc/NorthSEE%20Identity/Templates/North%20SEE%20template%20(Calibri)%20(incl%20A4%20horizont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D3C84-36DF-8A4D-A1D3-59D4BAF2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North SEE template (Calibri) (incl A4 horizontal).dotx</Template>
  <TotalTime>0</TotalTime>
  <Pages>4</Pages>
  <Words>942</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2019-04-16T09:59:00Z</dcterms:created>
  <dcterms:modified xsi:type="dcterms:W3CDTF">2019-04-16T09:59:00Z</dcterms:modified>
</cp:coreProperties>
</file>